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E3A5F"/>
          <w:sz w:val="48"/>
          <w:szCs w:val="48"/>
        </w:rPr>
        <w:t xml:space="preserve">CLINICAL KNOWLEDGE OPERATING SYSTEM</w:t>
      </w:r>
    </w:p>
    <w:p>
      <w:pPr>
        <w:spacing w:after="200"/>
        <w:jc w:val="center"/>
      </w:pPr>
      <w:r>
        <w:rPr>
          <w:rFonts w:ascii="Arial" w:cs="Arial" w:eastAsia="Arial" w:hAnsi="Arial"/>
          <w:color w:val="2E5C8A"/>
          <w:sz w:val="36"/>
          <w:szCs w:val="36"/>
        </w:rPr>
        <w:t xml:space="preserve">Technology-Resilient Implementation Plan</w:t>
      </w:r>
    </w:p>
    <w:p>
      <w:pPr>
        <w:spacing w:after="600"/>
        <w:jc w:val="center"/>
      </w:pPr>
      <w:r>
        <w:rPr>
          <w:rFonts w:ascii="Arial" w:cs="Arial" w:eastAsia="Arial" w:hAnsi="Arial"/>
          <w:i/>
          <w:iCs/>
          <w:color w:val="4A90D9"/>
          <w:sz w:val="28"/>
          <w:szCs w:val="28"/>
        </w:rPr>
        <w:t xml:space="preserve">Surviving LLM Obsolescence, Regulatory Drift, and Vendor Lock-in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b/>
                <w:bCs/>
                <w:color w:val="1E3A5F"/>
                <w:sz w:val="28"/>
                <w:szCs w:val="28"/>
              </w:rPr>
              <w:t xml:space="preserve">CORE DESIGN PRINCIPLE</w:t>
            </w:r>
          </w:p>
          <w:p>
            <w:pPr>
              <w:spacing w:before="200"/>
              <w:jc w:val="center"/>
            </w:pPr>
            <w:r>
              <w:rPr>
                <w:rFonts w:ascii="Arial" w:cs="Arial" w:eastAsia="Arial" w:hAnsi="Arial"/>
                <w:b/>
                <w:bCs/>
                <w:i/>
                <w:iCs/>
                <w:color w:val="2E7D4A"/>
                <w:sz w:val="32"/>
                <w:szCs w:val="32"/>
              </w:rPr>
              <w:t xml:space="preserve">"Freeze meaning. Fluidly replace intelligence."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line="276"/>
      </w:pPr>
      <w:r>
        <w:rPr>
          <w:rFonts w:ascii="Arial" w:cs="Arial" w:eastAsia="Arial" w:hAnsi="Arial"/>
          <w:sz w:val="24"/>
          <w:szCs w:val="24"/>
        </w:rPr>
        <w:t xml:space="preserve">This implementation plan addresses the critical challenge of building a Clinical Knowledge Operating System that will survive the next decade of technological change. Your existing architecture demonstrates rare maturity with its separation of immutable facts from replaceable intelligence. This plan provides the concrete execution strategy to lock in those gains while protecting against three existential risks:</w:t>
      </w:r>
    </w:p>
    <w:p>
      <w:pPr>
        <w:pStyle w:val="ListParagraph"/>
        <w:numPr>
          <w:ilvl w:val="0"/>
          <w:numId w:val="2"/>
        </w:numPr>
        <w:spacing w:after="120" w:line="276"/>
      </w:pPr>
      <w:r>
        <w:rPr>
          <w:rFonts w:ascii="Arial" w:cs="Arial" w:eastAsia="Arial" w:hAnsi="Arial"/>
          <w:sz w:val="24"/>
          <w:szCs w:val="24"/>
        </w:rPr>
        <w:t xml:space="preserve">LLM Obsolescence: The current generation of language models will be replaced within 2-3 years</w:t>
      </w:r>
    </w:p>
    <w:p>
      <w:pPr>
        <w:pStyle w:val="ListParagraph"/>
        <w:numPr>
          <w:ilvl w:val="0"/>
          <w:numId w:val="2"/>
        </w:numPr>
        <w:spacing w:after="120" w:line="276"/>
      </w:pPr>
      <w:r>
        <w:rPr>
          <w:rFonts w:ascii="Arial" w:cs="Arial" w:eastAsia="Arial" w:hAnsi="Arial"/>
          <w:sz w:val="24"/>
          <w:szCs w:val="24"/>
        </w:rPr>
        <w:t xml:space="preserve">Regulatory Drift: FDA, CDSCO, TGA, and EMA requirements will evolve independently</w:t>
      </w:r>
    </w:p>
    <w:p>
      <w:pPr>
        <w:pStyle w:val="ListParagraph"/>
        <w:numPr>
          <w:ilvl w:val="0"/>
          <w:numId w:val="2"/>
        </w:numPr>
        <w:spacing w:after="120" w:line="276"/>
      </w:pPr>
      <w:r>
        <w:rPr>
          <w:rFonts w:ascii="Arial" w:cs="Arial" w:eastAsia="Arial" w:hAnsi="Arial"/>
          <w:sz w:val="24"/>
          <w:szCs w:val="24"/>
        </w:rPr>
        <w:t xml:space="preserve">Vendor Lock-in: API providers, cloud platforms, and data sources will change terms or disappear</w:t>
      </w:r>
    </w:p>
    <w:p>
      <w:pPr>
        <w:pStyle w:val="Heading2"/>
      </w:pPr>
      <w:r>
        <w:t xml:space="preserve">1.1 The Technology Redundancy Challenge</w:t>
      </w:r>
    </w:p>
    <w:p>
      <w:pPr>
        <w:spacing w:after="200" w:line="276"/>
      </w:pPr>
      <w:r>
        <w:rPr>
          <w:rFonts w:ascii="Arial" w:cs="Arial" w:eastAsia="Arial" w:hAnsi="Arial"/>
          <w:sz w:val="24"/>
          <w:szCs w:val="24"/>
        </w:rPr>
        <w:t xml:space="preserve">Healthcare informatics faces a unique paradox: systems must be stable enough for clinical safety while adapting to rapid AI evolution. The average CDSS has a 15-year lifespan, but the average LLM model has an 18-month relevance window. This mismatch has destroyed many well-intentioned clinical AI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Dimension</w:t>
            </w:r>
          </w:p>
        </w:tc>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Traditional CDSS</w:t>
            </w:r>
          </w:p>
        </w:tc>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Your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Knowledge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Embedded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Canonical Facts (External)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Coupling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Tight (runtime)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Loose (extraction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 Swap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rewrite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Extractor swap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10-Year Survival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Unlikely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Highly Likely</w:t>
            </w:r>
          </w:p>
        </w:tc>
      </w:tr>
    </w:tbl>
    <w:p>
      <w:r>
        <w:br w:type="page"/>
      </w:r>
    </w:p>
    <w:p>
      <w:pPr>
        <w:pStyle w:val="Heading1"/>
      </w:pPr>
      <w:r>
        <w:t xml:space="preserve">2. Validated Architecture Invariants</w:t>
      </w:r>
    </w:p>
    <w:p>
      <w:pPr>
        <w:spacing w:after="200" w:line="276"/>
      </w:pPr>
      <w:r>
        <w:rPr>
          <w:rFonts w:ascii="Arial" w:cs="Arial" w:eastAsia="Arial" w:hAnsi="Arial"/>
          <w:sz w:val="24"/>
          <w:szCs w:val="24"/>
        </w:rPr>
        <w:t xml:space="preserve">Based on deep analysis of your architecture, the following decisions represent non-reversible invariants that should be locked permanently. These are the structural elements that make your system future-proof.</w:t>
      </w:r>
    </w:p>
    <w:p>
      <w:pPr>
        <w:pStyle w:val="Heading2"/>
      </w:pPr>
      <w:r>
        <w:t xml:space="preserve">2.1 Canonical Fact Store (The Core Breakthrough)</w:t>
      </w:r>
    </w:p>
    <w:p>
      <w:pPr>
        <w:spacing w:after="200" w:line="276"/>
      </w:pPr>
      <w:r>
        <w:rPr>
          <w:rFonts w:ascii="Arial" w:cs="Arial" w:eastAsia="Arial" w:hAnsi="Arial"/>
          <w:sz w:val="24"/>
          <w:szCs w:val="24"/>
        </w:rPr>
        <w:t xml:space="preserve">Your shift from KB-specific rules with runtime arbitration to Raw Evidence producing Canonical Facts producing Projections feeding Runtime is the single most important decision in the entire system. This is exactly how high-assurance systems in avionics and trading risk engines are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Why This Matters</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What It Enables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Eliminates semantic drift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KB-3, KB-19 integration without chaos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Enables longitudinal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Answering "why yesterday vs today" questions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Multiple intelligence engines possible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GPT, Llama, non-LLM replacements</w:t>
            </w:r>
          </w:p>
        </w:tc>
      </w:tr>
    </w:tbl>
    <w:p>
      <w:pPr>
        <w:pStyle w:val="Heading2"/>
      </w:pPr>
      <w:r>
        <w:t xml:space="preserve">2.2 Evidence Router + FactExtractor Interface (Anti-Redundancy Masterstroke)</w:t>
      </w:r>
    </w:p>
    <w:p>
      <w:pPr>
        <w:spacing w:after="200" w:line="276"/>
      </w:pPr>
      <w:r>
        <w:rPr>
          <w:rFonts w:ascii="Arial" w:cs="Arial" w:eastAsia="Arial" w:hAnsi="Arial"/>
          <w:sz w:val="24"/>
          <w:szCs w:val="24"/>
        </w:rPr>
        <w:t xml:space="preserve">Your Evidence Router plus FactExtractor abstraction is the correct response to LLM volatility. The key insight you captured correctly: Intelligence must be replaceable; meaning must not be. This design enables plug-compatible intelligence where extractors can be swapped without touching the fact store.</w:t>
      </w:r>
    </w:p>
    <w:p>
      <w:pPr>
        <w:pStyle w:val="Heading2"/>
      </w:pPr>
      <w:r>
        <w:t xml:space="preserve">2.3 Class vs Drug Precedence Resolution (Regulator-Grade)</w:t>
      </w:r>
    </w:p>
    <w:p>
      <w:pPr>
        <w:spacing w:after="200" w:line="276"/>
      </w:pPr>
      <w:r>
        <w:rPr>
          <w:rFonts w:ascii="Arial" w:cs="Arial" w:eastAsia="Arial" w:hAnsi="Arial"/>
          <w:sz w:val="24"/>
          <w:szCs w:val="24"/>
        </w:rPr>
        <w:t xml:space="preserve">Most CDSS systems fail at precedence resolution. Your rules where Drug-specific overrides Ingredient which overrides Class, with less-restrictive drug overrides forcing review and explicit inheritance tracking, mirror exactly how FDA safety reviewers reason. This is regulator-grade design.</w:t>
      </w:r>
    </w:p>
    <w:p>
      <w:pPr>
        <w:pStyle w:val="Heading2"/>
      </w:pPr>
      <w:r>
        <w:t xml:space="preserve">2.4 Temporal Versioning (The "Courtroom Test")</w:t>
      </w:r>
    </w:p>
    <w:p>
      <w:pPr>
        <w:spacing w:after="200" w:line="276"/>
      </w:pPr>
      <w:r>
        <w:rPr>
          <w:rFonts w:ascii="Arial" w:cs="Arial" w:eastAsia="Arial" w:hAnsi="Arial"/>
          <w:sz w:val="24"/>
          <w:szCs w:val="24"/>
        </w:rPr>
        <w:t xml:space="preserve">Your ability to answer "What was active on Jan 18, 2025?", "What superseded what?", and "Why did this decision occur?" means you survive audits, incidents, and guideline changes. Temporal versioning is mandatory with no shortcuts.</w:t>
      </w:r>
    </w:p>
    <w:p>
      <w:r>
        <w:br w:type="page"/>
      </w:r>
    </w:p>
    <w:p>
      <w:pPr>
        <w:pStyle w:val="Heading1"/>
      </w:pPr>
      <w:r>
        <w:t xml:space="preserve">3. Critical Enhancements (Subtle but Essential)</w:t>
      </w:r>
    </w:p>
    <w:p>
      <w:pPr>
        <w:spacing w:after="200" w:line="276"/>
      </w:pPr>
      <w:r>
        <w:rPr>
          <w:rFonts w:ascii="Arial" w:cs="Arial" w:eastAsia="Arial" w:hAnsi="Arial"/>
          <w:sz w:val="24"/>
          <w:szCs w:val="24"/>
        </w:rPr>
        <w:t xml:space="preserve">These are not structural flaws but second-order risks that emerge at scale. Addressing them now prevents future technical debt.</w:t>
      </w:r>
    </w:p>
    <w:p>
      <w:pPr>
        <w:pStyle w:val="Heading2"/>
      </w:pPr>
      <w:r>
        <w:t xml:space="preserve">3.1 Gap 1: Fact Stability Contract (Missing Layer)</w:t>
      </w:r>
    </w:p>
    <w:p>
      <w:pPr>
        <w:spacing w:after="200" w:line="276"/>
      </w:pPr>
      <w:r>
        <w:rPr>
          <w:rFonts w:ascii="Arial" w:cs="Arial" w:eastAsia="Arial" w:hAnsi="Arial"/>
          <w:sz w:val="24"/>
          <w:szCs w:val="24"/>
        </w:rPr>
        <w:t xml:space="preserve">Currently, facts are versioned but not classified by volatility. Not all facts change equally, and this classification is essential for intelligent refresh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Fact Type</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Expected Half-Life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DDI Interactions, Boxed Warnings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Renal/Hepatic Thresholds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Pregnancy Risk 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Formulary Tiers, Guidelines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Lab Reference Ranges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Years (rarely adjusted)</w:t>
            </w:r>
          </w:p>
        </w:tc>
      </w:tr>
    </w:tbl>
    <w:p>
      <w:pPr>
        <w:spacing w:after="200" w:line="276"/>
      </w:pPr>
      <w:r>
        <w:rPr>
          <w:rFonts w:ascii="Arial" w:cs="Arial" w:eastAsia="Arial" w:hAnsi="Arial"/>
          <w:sz w:val="24"/>
          <w:szCs w:val="24"/>
        </w:rPr>
        <w:t xml:space="preserve">Enhancement: Add stability metadata to every fact including expected half-life (YEARS/MONTHS/WEEKS), change triggers (FDA_LABEL_UPDATE, POST_MARKET_SURVEILLANCE, etc.), and auto_revalidation_interval_days. This prevents unnecessary LLM re-extraction and enables smart refresh policies.</w:t>
      </w:r>
    </w:p>
    <w:p>
      <w:pPr>
        <w:pStyle w:val="Heading2"/>
      </w:pPr>
      <w:r>
        <w:t xml:space="preserve">3.2 Gap 2: Evidence Conflict Resolution Layer (Pre-Fact Arbitration)</w:t>
      </w:r>
    </w:p>
    <w:p>
      <w:pPr>
        <w:spacing w:after="200" w:line="276"/>
      </w:pPr>
      <w:r>
        <w:rPr>
          <w:rFonts w:ascii="Arial" w:cs="Arial" w:eastAsia="Arial" w:hAnsi="Arial"/>
          <w:sz w:val="24"/>
          <w:szCs w:val="24"/>
        </w:rPr>
        <w:t xml:space="preserve">You handle fact precedence but not evidence disagreement. When SPL says avoid if eGFR less than 30, KDIGO guideline says avoid if eGFR less than 45, and MED-RT flags severe renal impairment, the system needs pre-fact arbitration.</w:t>
      </w:r>
    </w:p>
    <w:p>
      <w:pPr>
        <w:spacing w:after="200" w:line="276"/>
      </w:pPr>
      <w:r>
        <w:rPr>
          <w:rFonts w:ascii="Arial" w:cs="Arial" w:eastAsia="Arial" w:hAnsi="Arial"/>
          <w:sz w:val="24"/>
          <w:szCs w:val="24"/>
        </w:rPr>
        <w:t xml:space="preserve">Enhancement: Introduce evidence weighting before fact finalization. Track conflicting sources, resolution strategy (REGULATORY_SUPERSEDES_GUIDELINE), chosen source, and review_required flag. Rule of thumb: Regulatory labeling supersedes guidelines supersedes observational sources. Always log the conflict. This becomes gold during safety reviews.</w:t>
      </w:r>
    </w:p>
    <w:p>
      <w:pPr>
        <w:pStyle w:val="Heading2"/>
      </w:pPr>
      <w:r>
        <w:t xml:space="preserve">3.3 Gap 3: Decision Explanation Model (First-Class Objects)</w:t>
      </w:r>
    </w:p>
    <w:p>
      <w:pPr>
        <w:spacing w:after="200" w:line="276"/>
      </w:pPr>
      <w:r>
        <w:rPr>
          <w:rFonts w:ascii="Arial" w:cs="Arial" w:eastAsia="Arial" w:hAnsi="Arial"/>
          <w:sz w:val="24"/>
          <w:szCs w:val="24"/>
        </w:rPr>
        <w:t xml:space="preserve">KB-19 aggregates projections but explanation is implicit. For clinician trust and regulator defensibility, you need first-class decision explanation objects. Every decision should include decision_id, input_context, facts_applied with FactIDs, resolution_path showing the reasoning chain, final_action, confidence, and audit_hash.</w:t>
      </w:r>
    </w:p>
    <w:p>
      <w:pPr>
        <w:spacing w:after="200" w:line="276"/>
      </w:pPr>
      <w:r>
        <w:rPr>
          <w:rFonts w:ascii="Arial" w:cs="Arial" w:eastAsia="Arial" w:hAnsi="Arial"/>
          <w:sz w:val="24"/>
          <w:szCs w:val="24"/>
        </w:rPr>
        <w:t xml:space="preserve">This transforms KB-19 from "an engine that decides" into "an engine that explains decisions." That is the difference between clinical support and clinical authority.</w:t>
      </w:r>
    </w:p>
    <w:p>
      <w:r>
        <w:br w:type="page"/>
      </w:r>
    </w:p>
    <w:p>
      <w:pPr>
        <w:pStyle w:val="Heading1"/>
      </w:pPr>
      <w:r>
        <w:t xml:space="preserve">4. Intelligence Retirement Strategy (The Missing Layer)</w:t>
      </w:r>
    </w:p>
    <w:p>
      <w:pPr>
        <w:spacing w:after="200" w:line="276"/>
      </w:pPr>
      <w:r>
        <w:rPr>
          <w:rFonts w:ascii="Arial" w:cs="Arial" w:eastAsia="Arial" w:hAnsi="Arial"/>
          <w:sz w:val="24"/>
          <w:szCs w:val="24"/>
        </w:rPr>
        <w:t xml:space="preserve">You already articulated the principle: Freeze meaning, fluidly replace intelligence. Now we operationalize it. LLMs will become obsolete. Regex engines will be retired. APIs will change. You need a formal retirement pathway.</w:t>
      </w:r>
    </w:p>
    <w:p>
      <w:pPr>
        <w:pStyle w:val="Heading2"/>
      </w:pPr>
      <w:r>
        <w:t xml:space="preserve">4.1 Intelligence Version Registry</w:t>
      </w:r>
    </w:p>
    <w:p>
      <w:pPr>
        <w:spacing w:after="200" w:line="276"/>
      </w:pPr>
      <w:r>
        <w:rPr>
          <w:rFonts w:ascii="Arial" w:cs="Arial" w:eastAsia="Arial" w:hAnsi="Arial"/>
          <w:sz w:val="24"/>
          <w:szCs w:val="24"/>
        </w:rPr>
        <w:t xml:space="preserve">Create an Intelligence Version Registry tracking each intelligence unit (e.g., claude-renal), version, status (ACTIVE/DEPRECATED/RETIRED), deprecation_date, replaced_by reference, facts_affected patterns, and migration_strategy (NO_REPROCESS_REQUIRED vs REPROCESS_RECOMMENDED).</w:t>
      </w:r>
    </w:p>
    <w:p>
      <w:pPr>
        <w:spacing w:after="200" w:line="276"/>
      </w:pPr>
      <w:r>
        <w:rPr>
          <w:rFonts w:ascii="Arial" w:cs="Arial" w:eastAsia="Arial" w:hAnsi="Arial"/>
          <w:sz w:val="24"/>
          <w:szCs w:val="24"/>
        </w:rPr>
        <w:t xml:space="preserve">This enables retiring models without re-ingesting facts, avoiding re-validation hell, and preserving historical provenance. This is how you beat AI churn.</w:t>
      </w:r>
    </w:p>
    <w:p>
      <w:pPr>
        <w:pStyle w:val="Heading2"/>
      </w:pPr>
      <w:r>
        <w:t xml:space="preserve">4.2 Model Churn Protection Strategy</w:t>
      </w:r>
    </w:p>
    <w:p>
      <w:pPr>
        <w:pStyle w:val="ListParagraph"/>
        <w:numPr>
          <w:ilvl w:val="0"/>
          <w:numId w:val="2"/>
        </w:numPr>
        <w:spacing w:after="120" w:line="276"/>
      </w:pPr>
      <w:r>
        <w:rPr>
          <w:rFonts w:ascii="Arial" w:cs="Arial" w:eastAsia="Arial" w:hAnsi="Arial"/>
          <w:sz w:val="24"/>
          <w:szCs w:val="24"/>
        </w:rPr>
        <w:t xml:space="preserve">LLMs run offline/batch where possible, never at runtime decision points</w:t>
      </w:r>
    </w:p>
    <w:p>
      <w:pPr>
        <w:pStyle w:val="ListParagraph"/>
        <w:numPr>
          <w:ilvl w:val="0"/>
          <w:numId w:val="2"/>
        </w:numPr>
        <w:spacing w:after="120" w:line="276"/>
      </w:pPr>
      <w:r>
        <w:rPr>
          <w:rFonts w:ascii="Arial" w:cs="Arial" w:eastAsia="Arial" w:hAnsi="Arial"/>
          <w:sz w:val="24"/>
          <w:szCs w:val="24"/>
        </w:rPr>
        <w:t xml:space="preserve">All outputs are audited against facts before entering the canonical store</w:t>
      </w:r>
    </w:p>
    <w:p>
      <w:pPr>
        <w:pStyle w:val="ListParagraph"/>
        <w:numPr>
          <w:ilvl w:val="0"/>
          <w:numId w:val="2"/>
        </w:numPr>
        <w:spacing w:after="120" w:line="276"/>
      </w:pPr>
      <w:r>
        <w:rPr>
          <w:rFonts w:ascii="Arial" w:cs="Arial" w:eastAsia="Arial" w:hAnsi="Arial"/>
          <w:sz w:val="24"/>
          <w:szCs w:val="24"/>
        </w:rPr>
        <w:t xml:space="preserve">Prompt versioning is mandatory with semantic versioning</w:t>
      </w:r>
    </w:p>
    <w:p>
      <w:pPr>
        <w:pStyle w:val="ListParagraph"/>
        <w:numPr>
          <w:ilvl w:val="0"/>
          <w:numId w:val="2"/>
        </w:numPr>
        <w:spacing w:after="120" w:line="276"/>
      </w:pPr>
      <w:r>
        <w:rPr>
          <w:rFonts w:ascii="Arial" w:cs="Arial" w:eastAsia="Arial" w:hAnsi="Arial"/>
          <w:sz w:val="24"/>
          <w:szCs w:val="24"/>
        </w:rPr>
        <w:t xml:space="preserve">5% human sampling rate for continuous quality monitoring</w:t>
      </w:r>
    </w:p>
    <w:p>
      <w:pPr>
        <w:pStyle w:val="ListParagraph"/>
        <w:numPr>
          <w:ilvl w:val="0"/>
          <w:numId w:val="2"/>
        </w:numPr>
        <w:spacing w:after="120" w:line="276"/>
      </w:pPr>
      <w:r>
        <w:rPr>
          <w:rFonts w:ascii="Arial" w:cs="Arial" w:eastAsia="Arial" w:hAnsi="Arial"/>
          <w:sz w:val="24"/>
          <w:szCs w:val="24"/>
        </w:rPr>
        <w:t xml:space="preserve">Confidence drift metrics tracked over time to detect model degradation</w:t>
      </w:r>
    </w:p>
    <w:p>
      <w:pPr>
        <w:spacing w:after="200" w:line="276"/>
      </w:pPr>
      <w:r>
        <w:rPr>
          <w:rFonts w:ascii="Arial" w:cs="Arial" w:eastAsia="Arial" w:hAnsi="Arial"/>
          <w:sz w:val="24"/>
          <w:szCs w:val="24"/>
        </w:rPr>
        <w:t xml:space="preserve">Swap Protection ensures that if GPT pricing explodes, you swap to Llama. If Claude licensing changes, you swap to local model. If a new domain model emerges, you swap to specialized model. Facts remain unchanged throughout because the spine survives.</w:t>
      </w:r>
    </w:p>
    <w:p>
      <w:pPr>
        <w:pStyle w:val="Heading2"/>
      </w:pPr>
      <w:r>
        <w:t xml:space="preserve">4.3 Regulatory Drift Protection</w:t>
      </w:r>
    </w:p>
    <w:p>
      <w:pPr>
        <w:spacing w:after="200" w:line="276"/>
      </w:pPr>
      <w:r>
        <w:rPr>
          <w:rFonts w:ascii="Arial" w:cs="Arial" w:eastAsia="Arial" w:hAnsi="Arial"/>
          <w:sz w:val="24"/>
          <w:szCs w:val="24"/>
        </w:rPr>
        <w:t xml:space="preserve">Temporal queries combined with jurisdiction tagging enable powerful regulatory compliance.</w:t>
      </w:r>
    </w:p>
    <w:p>
      <w:pPr>
        <w:pStyle w:val="ListParagraph"/>
        <w:numPr>
          <w:ilvl w:val="0"/>
          <w:numId w:val="2"/>
        </w:numPr>
        <w:spacing w:after="120" w:line="276"/>
      </w:pPr>
      <w:r>
        <w:rPr>
          <w:rFonts w:ascii="Arial" w:cs="Arial" w:eastAsia="Arial" w:hAnsi="Arial"/>
          <w:sz w:val="24"/>
          <w:szCs w:val="24"/>
        </w:rPr>
        <w:t xml:space="preserve">Temporal queries: "Why was this drug allowed last year?" retrieves facts at specific point in time</w:t>
      </w:r>
    </w:p>
    <w:p>
      <w:pPr>
        <w:pStyle w:val="ListParagraph"/>
        <w:numPr>
          <w:ilvl w:val="0"/>
          <w:numId w:val="2"/>
        </w:numPr>
        <w:spacing w:after="120" w:line="276"/>
      </w:pPr>
      <w:r>
        <w:rPr>
          <w:rFonts w:ascii="Arial" w:cs="Arial" w:eastAsia="Arial" w:hAnsi="Arial"/>
          <w:sz w:val="24"/>
          <w:szCs w:val="24"/>
        </w:rPr>
        <w:t xml:space="preserve">Jurisdiction filtering: "What are India-specific contraindications?" filters by country code</w:t>
      </w:r>
    </w:p>
    <w:p>
      <w:pPr>
        <w:pStyle w:val="ListParagraph"/>
        <w:numPr>
          <w:ilvl w:val="0"/>
          <w:numId w:val="2"/>
        </w:numPr>
        <w:spacing w:after="120" w:line="276"/>
      </w:pPr>
      <w:r>
        <w:rPr>
          <w:rFonts w:ascii="Arial" w:cs="Arial" w:eastAsia="Arial" w:hAnsi="Arial"/>
          <w:sz w:val="24"/>
          <w:szCs w:val="24"/>
        </w:rPr>
        <w:t xml:space="preserve">Audit chains: "Show me the approval chain for this fact" provides complete provenance</w:t>
      </w:r>
    </w:p>
    <w:p>
      <w:pPr>
        <w:spacing w:after="200" w:line="276"/>
      </w:pPr>
      <w:r>
        <w:rPr>
          <w:rFonts w:ascii="Arial" w:cs="Arial" w:eastAsia="Arial" w:hAnsi="Arial"/>
          <w:sz w:val="24"/>
          <w:szCs w:val="24"/>
        </w:rPr>
        <w:t xml:space="preserve">Every fact carries jurisdictions array (US, AU, IN), regulatory_body (FDA, TGA, CDSCO), and approval_date. This supports geographic expansion to India, Australia, and EU without architectural changes.</w:t>
      </w:r>
    </w:p>
    <w:p>
      <w:r>
        <w:br w:type="page"/>
      </w:r>
    </w:p>
    <w:p>
      <w:pPr>
        <w:pStyle w:val="Heading1"/>
      </w:pPr>
      <w:r>
        <w:t xml:space="preserve">5. Phased Implementation Plan (Risk-Minimized Execution)</w:t>
      </w:r>
    </w:p>
    <w:p>
      <w:pPr>
        <w:spacing w:after="200" w:line="276"/>
      </w:pPr>
      <w:r>
        <w:rPr>
          <w:rFonts w:ascii="Arial" w:cs="Arial" w:eastAsia="Arial" w:hAnsi="Arial"/>
          <w:sz w:val="24"/>
          <w:szCs w:val="24"/>
        </w:rPr>
        <w:t xml:space="preserve">This execution plan minimizes risk by establishing the stable foundation before introducing LLM complexity. Each phase delivers standalone value while building toward the complete system.</w:t>
      </w:r>
    </w:p>
    <w:p>
      <w:pPr>
        <w:pStyle w:val="Heading2"/>
      </w:pPr>
      <w:r>
        <w:t xml:space="preserve">Phase 0: Lock the Spine (Weeks 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Deliverable</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Actions</w:t>
            </w:r>
          </w:p>
        </w:tc>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Success 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Fact Schema Finalization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Finalize six fact types, add stability metadata, lock schema 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Schema review signed 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Interface Contracts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Lock EvidenceUnit and FactExtractor interfaces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 interfaces frozen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Drug Master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Implement Drug Master Table with RxNorm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 drugs synced</w:t>
            </w:r>
          </w:p>
        </w:tc>
      </w:tr>
    </w:tbl>
    <w:p>
      <w:pPr>
        <w:spacing w:after="200" w:line="276"/>
      </w:pPr>
      <w:r>
        <w:rPr>
          <w:rFonts w:ascii="Arial" w:cs="Arial" w:eastAsia="Arial" w:hAnsi="Arial"/>
          <w:sz w:val="24"/>
          <w:szCs w:val="24"/>
        </w:rPr>
        <w:t xml:space="preserve">Governance Gate: After this phase, schema changes require formal governance approval. This locks the spine.</w:t>
      </w:r>
    </w:p>
    <w:p>
      <w:pPr>
        <w:pStyle w:val="Heading2"/>
      </w:pPr>
      <w:r>
        <w:t xml:space="preserve">Phase 1: Ship Value Without LLM Risk (Weeks 2-4)</w:t>
      </w:r>
    </w:p>
    <w:p>
      <w:pPr>
        <w:spacing w:after="200" w:line="276"/>
      </w:pPr>
      <w:r>
        <w:rPr>
          <w:rFonts w:ascii="Arial" w:cs="Arial" w:eastAsia="Arial" w:hAnsi="Arial"/>
          <w:sz w:val="24"/>
          <w:szCs w:val="24"/>
        </w:rPr>
        <w:t xml:space="preserve">This phase delivers clinical value using structured data sources with no AI dependency. This proves the architecture works before introducing extraction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KB</w:t>
            </w:r>
          </w:p>
        </w:tc>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Data Source</w:t>
            </w:r>
          </w:p>
        </w:tc>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LLM Needed?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KB-5 DDI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RxNav API, NLM Interaction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KB-6 Formulary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CMS PUF Downloads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ETL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KB-16 Lab Ranges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LOINC Tables, NHANES Statistics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ETL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bl>
    <w:p>
      <w:pPr>
        <w:spacing w:after="200" w:line="276"/>
      </w:pPr>
      <w:r>
        <w:rPr>
          <w:rFonts w:ascii="Arial" w:cs="Arial" w:eastAsia="Arial" w:hAnsi="Arial"/>
          <w:sz w:val="24"/>
          <w:szCs w:val="24"/>
        </w:rPr>
        <w:t xml:space="preserve">Value Delivered: DDI checking for 4 million+ drug pairs, formulary coverage data, lab reference ranges. All deterministic, auditable, and AI-risk-free.</w:t>
      </w:r>
    </w:p>
    <w:p>
      <w:pPr>
        <w:pStyle w:val="Heading2"/>
      </w:pPr>
      <w:r>
        <w:t xml:space="preserve">Phase 2: Governance Before Intelligence (Weeks 5-6)</w:t>
      </w:r>
    </w:p>
    <w:p>
      <w:pPr>
        <w:pStyle w:val="ListParagraph"/>
        <w:numPr>
          <w:ilvl w:val="0"/>
          <w:numId w:val="2"/>
        </w:numPr>
        <w:spacing w:after="120" w:line="276"/>
      </w:pPr>
      <w:r>
        <w:rPr>
          <w:rFonts w:ascii="Arial" w:cs="Arial" w:eastAsia="Arial" w:hAnsi="Arial"/>
          <w:sz w:val="24"/>
          <w:szCs w:val="24"/>
        </w:rPr>
        <w:t xml:space="preserve">Build KB-18 pharmacist review UI with queue management</w:t>
      </w:r>
    </w:p>
    <w:p>
      <w:pPr>
        <w:pStyle w:val="ListParagraph"/>
        <w:numPr>
          <w:ilvl w:val="0"/>
          <w:numId w:val="2"/>
        </w:numPr>
        <w:spacing w:after="120" w:line="276"/>
      </w:pPr>
      <w:r>
        <w:rPr>
          <w:rFonts w:ascii="Arial" w:cs="Arial" w:eastAsia="Arial" w:hAnsi="Arial"/>
          <w:sz w:val="24"/>
          <w:szCs w:val="24"/>
        </w:rPr>
        <w:t xml:space="preserve">Implement class vs drug conflict queue with precedence visualization</w:t>
      </w:r>
    </w:p>
    <w:p>
      <w:pPr>
        <w:pStyle w:val="ListParagraph"/>
        <w:numPr>
          <w:ilvl w:val="0"/>
          <w:numId w:val="2"/>
        </w:numPr>
        <w:spacing w:after="120" w:line="276"/>
      </w:pPr>
      <w:r>
        <w:rPr>
          <w:rFonts w:ascii="Arial" w:cs="Arial" w:eastAsia="Arial" w:hAnsi="Arial"/>
          <w:sz w:val="24"/>
          <w:szCs w:val="24"/>
        </w:rPr>
        <w:t xml:space="preserve">Deploy confidence-based auto-approval rules (HIGH auto-activates, MEDIUM queues, LOW archives)</w:t>
      </w:r>
    </w:p>
    <w:p>
      <w:pPr>
        <w:pStyle w:val="ListParagraph"/>
        <w:numPr>
          <w:ilvl w:val="0"/>
          <w:numId w:val="2"/>
        </w:numPr>
        <w:spacing w:after="120" w:line="276"/>
      </w:pPr>
      <w:r>
        <w:rPr>
          <w:rFonts w:ascii="Arial" w:cs="Arial" w:eastAsia="Arial" w:hAnsi="Arial"/>
          <w:sz w:val="24"/>
          <w:szCs w:val="24"/>
        </w:rPr>
        <w:t xml:space="preserve">Add audit logging infrastructure for all approval decisions</w:t>
      </w:r>
    </w:p>
    <w:p>
      <w:pPr>
        <w:spacing w:after="200" w:line="276"/>
      </w:pPr>
      <w:r>
        <w:rPr>
          <w:rFonts w:ascii="Arial" w:cs="Arial" w:eastAsia="Arial" w:hAnsi="Arial"/>
          <w:sz w:val="24"/>
          <w:szCs w:val="24"/>
        </w:rPr>
        <w:t xml:space="preserve">This phase is critical because it prevents silent failures. Governance infrastructure must exist before LLM outputs start flowing into the system.</w:t>
      </w:r>
    </w:p>
    <w:p>
      <w:r>
        <w:br w:type="page"/>
      </w:r>
    </w:p>
    <w:p>
      <w:pPr>
        <w:pStyle w:val="Heading2"/>
      </w:pPr>
      <w:r>
        <w:t xml:space="preserve">Phase 3: LLM Extraction - Controlled (Weeks 7-10)</w:t>
      </w:r>
    </w:p>
    <w:p>
      <w:pPr>
        <w:spacing w:after="200" w:line="276"/>
      </w:pPr>
      <w:r>
        <w:rPr>
          <w:rFonts w:ascii="Arial" w:cs="Arial" w:eastAsia="Arial" w:hAnsi="Arial"/>
          <w:sz w:val="24"/>
          <w:szCs w:val="24"/>
        </w:rPr>
        <w:t xml:space="preserve">Now we introduce LLM extraction with full safety controls in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Control</w:t>
            </w:r>
          </w:p>
        </w:tc>
        <w:tc>
          <w:tcPr>
            <w:tcW w:type="dxa" w:w="70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Strict Schema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 Schema validation on all LLM outputs, reject malformed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Evidence Spans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LLM must cite source text, enables human verification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Confidence Scoring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Multi-signal confidence with calibration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Human Review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review in first week, then confidence-based routing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Drift Monitoring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Track confidence distributions over time, alert on shifts</w:t>
            </w:r>
          </w:p>
        </w:tc>
      </w:tr>
    </w:tbl>
    <w:p>
      <w:pPr>
        <w:spacing w:after="200" w:line="276"/>
      </w:pPr>
      <w:r>
        <w:rPr>
          <w:rFonts w:ascii="Arial" w:cs="Arial" w:eastAsia="Arial" w:hAnsi="Arial"/>
          <w:sz w:val="24"/>
          <w:szCs w:val="24"/>
        </w:rPr>
        <w:t xml:space="preserve">Critical Rule: LLM never writes directly to ACTIVE status. All LLM outputs are DRAFT until governance approves.</w:t>
      </w:r>
    </w:p>
    <w:p>
      <w:pPr>
        <w:spacing w:after="200" w:line="276"/>
      </w:pPr>
      <w:r>
        <w:rPr>
          <w:rFonts w:ascii="Arial" w:cs="Arial" w:eastAsia="Arial" w:hAnsi="Arial"/>
          <w:sz w:val="24"/>
          <w:szCs w:val="24"/>
        </w:rPr>
        <w:t xml:space="preserve">Focus: KB-1 Renal Dosing. Extract from SPL documents for approximately 500 high-priority renally-cleared drugs. This is the highest-value LLM use case.</w:t>
      </w:r>
    </w:p>
    <w:p>
      <w:pPr>
        <w:pStyle w:val="Heading2"/>
      </w:pPr>
      <w:r>
        <w:t xml:space="preserve">Phase 4: Extend to KB-4 Safety (Weeks 11-12)</w:t>
      </w:r>
    </w:p>
    <w:p>
      <w:pPr>
        <w:pStyle w:val="ListParagraph"/>
        <w:numPr>
          <w:ilvl w:val="0"/>
          <w:numId w:val="2"/>
        </w:numPr>
        <w:spacing w:after="120" w:line="276"/>
      </w:pPr>
      <w:r>
        <w:rPr>
          <w:rFonts w:ascii="Arial" w:cs="Arial" w:eastAsia="Arial" w:hAnsi="Arial"/>
          <w:sz w:val="24"/>
          <w:szCs w:val="24"/>
        </w:rPr>
        <w:t xml:space="preserve">Reuse SPL cache from KB-1 implementation</w:t>
      </w:r>
    </w:p>
    <w:p>
      <w:pPr>
        <w:pStyle w:val="ListParagraph"/>
        <w:numPr>
          <w:ilvl w:val="0"/>
          <w:numId w:val="2"/>
        </w:numPr>
        <w:spacing w:after="120" w:line="276"/>
      </w:pPr>
      <w:r>
        <w:rPr>
          <w:rFonts w:ascii="Arial" w:cs="Arial" w:eastAsia="Arial" w:hAnsi="Arial"/>
          <w:sz w:val="24"/>
          <w:szCs w:val="24"/>
        </w:rPr>
        <w:t xml:space="preserve">Deploy separate prompt chains for boxed warnings and pregnancy/lactation data</w:t>
      </w:r>
    </w:p>
    <w:p>
      <w:pPr>
        <w:pStyle w:val="ListParagraph"/>
        <w:numPr>
          <w:ilvl w:val="0"/>
          <w:numId w:val="2"/>
        </w:numPr>
        <w:spacing w:after="120" w:line="276"/>
      </w:pPr>
      <w:r>
        <w:rPr>
          <w:rFonts w:ascii="Arial" w:cs="Arial" w:eastAsia="Arial" w:hAnsi="Arial"/>
          <w:sz w:val="24"/>
          <w:szCs w:val="24"/>
        </w:rPr>
        <w:t xml:space="preserve">Use MED-RT graph for corroboration, not as primary truth source</w:t>
      </w:r>
    </w:p>
    <w:p>
      <w:pPr>
        <w:pStyle w:val="ListParagraph"/>
        <w:numPr>
          <w:ilvl w:val="0"/>
          <w:numId w:val="2"/>
        </w:numPr>
        <w:spacing w:after="120" w:line="276"/>
      </w:pPr>
      <w:r>
        <w:rPr>
          <w:rFonts w:ascii="Arial" w:cs="Arial" w:eastAsia="Arial" w:hAnsi="Arial"/>
          <w:sz w:val="24"/>
          <w:szCs w:val="24"/>
        </w:rPr>
        <w:t xml:space="preserve">Implement contraindication extraction with ICD-10 code mapping</w:t>
      </w:r>
    </w:p>
    <w:p>
      <w:pPr>
        <w:pStyle w:val="Heading2"/>
      </w:pPr>
      <w:r>
        <w:t xml:space="preserve">Phase 5: Runtime Explainability (Week 13)</w:t>
      </w:r>
    </w:p>
    <w:p>
      <w:pPr>
        <w:pStyle w:val="ListParagraph"/>
        <w:numPr>
          <w:ilvl w:val="0"/>
          <w:numId w:val="2"/>
        </w:numPr>
        <w:spacing w:after="120" w:line="276"/>
      </w:pPr>
      <w:r>
        <w:rPr>
          <w:rFonts w:ascii="Arial" w:cs="Arial" w:eastAsia="Arial" w:hAnsi="Arial"/>
          <w:sz w:val="24"/>
          <w:szCs w:val="24"/>
        </w:rPr>
        <w:t xml:space="preserve">Implement decision explanation objects with complete fact chains</w:t>
      </w:r>
    </w:p>
    <w:p>
      <w:pPr>
        <w:pStyle w:val="ListParagraph"/>
        <w:numPr>
          <w:ilvl w:val="0"/>
          <w:numId w:val="2"/>
        </w:numPr>
        <w:spacing w:after="120" w:line="276"/>
      </w:pPr>
      <w:r>
        <w:rPr>
          <w:rFonts w:ascii="Arial" w:cs="Arial" w:eastAsia="Arial" w:hAnsi="Arial"/>
          <w:sz w:val="24"/>
          <w:szCs w:val="24"/>
        </w:rPr>
        <w:t xml:space="preserve">Expose "Why?" trace to clinician UI</w:t>
      </w:r>
    </w:p>
    <w:p>
      <w:pPr>
        <w:pStyle w:val="ListParagraph"/>
        <w:numPr>
          <w:ilvl w:val="0"/>
          <w:numId w:val="2"/>
        </w:numPr>
        <w:spacing w:after="120" w:line="276"/>
      </w:pPr>
      <w:r>
        <w:rPr>
          <w:rFonts w:ascii="Arial" w:cs="Arial" w:eastAsia="Arial" w:hAnsi="Arial"/>
          <w:sz w:val="24"/>
          <w:szCs w:val="24"/>
        </w:rPr>
        <w:t xml:space="preserve">Connect audit logs to explanation objects</w:t>
      </w:r>
    </w:p>
    <w:p>
      <w:pPr>
        <w:pStyle w:val="ListParagraph"/>
        <w:numPr>
          <w:ilvl w:val="0"/>
          <w:numId w:val="2"/>
        </w:numPr>
        <w:spacing w:after="120" w:line="276"/>
      </w:pPr>
      <w:r>
        <w:rPr>
          <w:rFonts w:ascii="Arial" w:cs="Arial" w:eastAsia="Arial" w:hAnsi="Arial"/>
          <w:sz w:val="24"/>
          <w:szCs w:val="24"/>
        </w:rPr>
        <w:t xml:space="preserve">Add regulator-ready export format for decision trails</w:t>
      </w:r>
    </w:p>
    <w:p>
      <w:r>
        <w:br w:type="page"/>
      </w:r>
    </w:p>
    <w:p>
      <w:pPr>
        <w:pStyle w:val="Heading1"/>
      </w:pPr>
      <w:r>
        <w:t xml:space="preserve">6. 10-Year Survival Architecture Assessment</w:t>
      </w:r>
    </w:p>
    <w:p>
      <w:pPr>
        <w:spacing w:after="200" w:line="276"/>
      </w:pPr>
      <w:r>
        <w:rPr>
          <w:rFonts w:ascii="Arial" w:cs="Arial" w:eastAsia="Arial" w:hAnsi="Arial"/>
          <w:sz w:val="24"/>
          <w:szCs w:val="24"/>
        </w:rPr>
        <w:t xml:space="preserve">This architecture is designed to survive a decade of technological change. Here is how each survival dimension is addressed.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Dimension</w:t>
            </w:r>
          </w:p>
        </w:tc>
        <w:tc>
          <w:tcPr>
            <w:tcW w:type="dxa" w:w="32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Traditional CDSS</w:t>
            </w:r>
          </w:p>
        </w:tc>
        <w:tc>
          <w:tcPr>
            <w:tcW w:type="dxa" w:w="32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Your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Knowledge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Embedded Rules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External Facts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Usage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Everywhere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Extraction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Explainability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Post-hoc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Native (fact-based)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Regulatory Story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Fragile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Strong (audit trail)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Vendor Lock-in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(pluggable)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Future LLM Impact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Risk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Offline Capability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Often Missing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Built-in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Latency Guarantee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Deterministic</w:t>
            </w:r>
          </w:p>
        </w:tc>
      </w:tr>
    </w:tbl>
    <w:p>
      <w:pPr>
        <w:pStyle w:val="Heading2"/>
      </w:pPr>
      <w:r>
        <w:t xml:space="preserve">6.1 Hospital Reality Protection</w:t>
      </w:r>
    </w:p>
    <w:p>
      <w:pPr>
        <w:spacing w:after="200" w:line="276"/>
      </w:pPr>
      <w:r>
        <w:rPr>
          <w:rFonts w:ascii="Arial" w:cs="Arial" w:eastAsia="Arial" w:hAnsi="Arial"/>
          <w:sz w:val="24"/>
          <w:szCs w:val="24"/>
        </w:rPr>
        <w:t xml:space="preserve">Your system is designed for hospital deployment with offline capability, ICU-safe latency, and deterministic behavior.</w:t>
      </w:r>
    </w:p>
    <w:p>
      <w:pPr>
        <w:pStyle w:val="ListParagraph"/>
        <w:numPr>
          <w:ilvl w:val="0"/>
          <w:numId w:val="2"/>
        </w:numPr>
        <w:spacing w:after="120" w:line="276"/>
      </w:pPr>
      <w:r>
        <w:rPr>
          <w:rFonts w:ascii="Arial" w:cs="Arial" w:eastAsia="Arial" w:hAnsi="Arial"/>
          <w:sz w:val="24"/>
          <w:szCs w:val="24"/>
        </w:rPr>
        <w:t xml:space="preserve">Offline Capability: Fact cache synced daily, works without external calls</w:t>
      </w:r>
    </w:p>
    <w:p>
      <w:pPr>
        <w:pStyle w:val="ListParagraph"/>
        <w:numPr>
          <w:ilvl w:val="0"/>
          <w:numId w:val="2"/>
        </w:numPr>
        <w:spacing w:after="120" w:line="276"/>
      </w:pPr>
      <w:r>
        <w:rPr>
          <w:rFonts w:ascii="Arial" w:cs="Arial" w:eastAsia="Arial" w:hAnsi="Arial"/>
          <w:sz w:val="24"/>
          <w:szCs w:val="24"/>
        </w:rPr>
        <w:t xml:space="preserve">Cache TTL: 24 hours with automatic refresh</w:t>
      </w:r>
    </w:p>
    <w:p>
      <w:pPr>
        <w:pStyle w:val="ListParagraph"/>
        <w:numPr>
          <w:ilvl w:val="0"/>
          <w:numId w:val="2"/>
        </w:numPr>
        <w:spacing w:after="120" w:line="276"/>
      </w:pPr>
      <w:r>
        <w:rPr>
          <w:rFonts w:ascii="Arial" w:cs="Arial" w:eastAsia="Arial" w:hAnsi="Arial"/>
          <w:sz w:val="24"/>
          <w:szCs w:val="24"/>
        </w:rPr>
        <w:t xml:space="preserve">Max Latency: 50ms for ICU scenarios (deterministic)</w:t>
      </w:r>
    </w:p>
    <w:p>
      <w:pPr>
        <w:pStyle w:val="ListParagraph"/>
        <w:numPr>
          <w:ilvl w:val="0"/>
          <w:numId w:val="2"/>
        </w:numPr>
        <w:spacing w:after="120" w:line="276"/>
      </w:pPr>
      <w:r>
        <w:rPr>
          <w:rFonts w:ascii="Arial" w:cs="Arial" w:eastAsia="Arial" w:hAnsi="Arial"/>
          <w:sz w:val="24"/>
          <w:szCs w:val="24"/>
        </w:rPr>
        <w:t xml:space="preserve">Timeout Policy: Configurable fail-open or fail-closed</w:t>
      </w:r>
    </w:p>
    <w:p>
      <w:pPr>
        <w:pStyle w:val="ListParagraph"/>
        <w:numPr>
          <w:ilvl w:val="0"/>
          <w:numId w:val="2"/>
        </w:numPr>
        <w:spacing w:after="120" w:line="276"/>
      </w:pPr>
      <w:r>
        <w:rPr>
          <w:rFonts w:ascii="Arial" w:cs="Arial" w:eastAsia="Arial" w:hAnsi="Arial"/>
          <w:sz w:val="24"/>
          <w:szCs w:val="24"/>
        </w:rPr>
        <w:t xml:space="preserve">No LLM at Runtime: KB-19 is purely rule-based</w:t>
      </w:r>
    </w:p>
    <w:p>
      <w:pPr>
        <w:pStyle w:val="ListParagraph"/>
        <w:numPr>
          <w:ilvl w:val="0"/>
          <w:numId w:val="2"/>
        </w:numPr>
        <w:spacing w:after="120" w:line="276"/>
      </w:pPr>
      <w:r>
        <w:rPr>
          <w:rFonts w:ascii="Arial" w:cs="Arial" w:eastAsia="Arial" w:hAnsi="Arial"/>
          <w:sz w:val="24"/>
          <w:szCs w:val="24"/>
        </w:rPr>
        <w:t xml:space="preserve">Reproducibility: Same input always produces same output</w:t>
      </w:r>
    </w:p>
    <w:p>
      <w:r>
        <w:br w:type="page"/>
      </w:r>
    </w:p>
    <w:p>
      <w:pPr>
        <w:pStyle w:val="Heading1"/>
      </w:pPr>
      <w:r>
        <w:t xml:space="preserve">7. Risk Mitigation Framework</w:t>
      </w:r>
    </w:p>
    <w:p>
      <w:pPr>
        <w:pStyle w:val="Heading2"/>
      </w:pPr>
      <w:r>
        <w:t xml:space="preserve">7.1 LLM Failure Modes and Containment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351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Risk</w:t>
            </w:r>
          </w:p>
        </w:tc>
        <w:tc>
          <w:tcPr>
            <w:tcW w:type="dxa" w:w="351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Containment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Hallucinated Dose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Patient harm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Schema validation, evidence span required, pharmacist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Missing Contraindication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Missed safety alert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MED-RT cross-validation, coverage metrics, gap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Confidence Drift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Silent quality degradation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Drift monitoring dashboards, automatic 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Outage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Extraction pipeline halts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Multi-provider fallback, queue buffering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 Deprecation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Forced migration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Intelligence registry, hot-swap capability</w:t>
            </w:r>
          </w:p>
        </w:tc>
      </w:tr>
    </w:tbl>
    <w:p>
      <w:pPr>
        <w:pStyle w:val="Heading2"/>
      </w:pPr>
      <w:r>
        <w:t xml:space="preserve">7.2 Regulatory Risk Mitigation</w:t>
      </w:r>
    </w:p>
    <w:p>
      <w:pPr>
        <w:pStyle w:val="ListParagraph"/>
        <w:numPr>
          <w:ilvl w:val="0"/>
          <w:numId w:val="2"/>
        </w:numPr>
        <w:spacing w:after="120" w:line="276"/>
      </w:pPr>
      <w:r>
        <w:rPr>
          <w:rFonts w:ascii="Arial" w:cs="Arial" w:eastAsia="Arial" w:hAnsi="Arial"/>
          <w:sz w:val="24"/>
          <w:szCs w:val="24"/>
        </w:rPr>
        <w:t xml:space="preserve">Jurisdiction Tagging: Every fact tagged with applicable jurisdictions</w:t>
      </w:r>
    </w:p>
    <w:p>
      <w:pPr>
        <w:pStyle w:val="ListParagraph"/>
        <w:numPr>
          <w:ilvl w:val="0"/>
          <w:numId w:val="2"/>
        </w:numPr>
        <w:spacing w:after="120" w:line="276"/>
      </w:pPr>
      <w:r>
        <w:rPr>
          <w:rFonts w:ascii="Arial" w:cs="Arial" w:eastAsia="Arial" w:hAnsi="Arial"/>
          <w:sz w:val="24"/>
          <w:szCs w:val="24"/>
        </w:rPr>
        <w:t xml:space="preserve">Temporal Queries: Historical state reconstruction at any point</w:t>
      </w:r>
    </w:p>
    <w:p>
      <w:pPr>
        <w:pStyle w:val="ListParagraph"/>
        <w:numPr>
          <w:ilvl w:val="0"/>
          <w:numId w:val="2"/>
        </w:numPr>
        <w:spacing w:after="120" w:line="276"/>
      </w:pPr>
      <w:r>
        <w:rPr>
          <w:rFonts w:ascii="Arial" w:cs="Arial" w:eastAsia="Arial" w:hAnsi="Arial"/>
          <w:sz w:val="24"/>
          <w:szCs w:val="24"/>
        </w:rPr>
        <w:t xml:space="preserve">Approval Chains: Complete provenance from evidence to active fact</w:t>
      </w:r>
    </w:p>
    <w:p>
      <w:pPr>
        <w:pStyle w:val="ListParagraph"/>
        <w:numPr>
          <w:ilvl w:val="0"/>
          <w:numId w:val="2"/>
        </w:numPr>
        <w:spacing w:after="120" w:line="276"/>
      </w:pPr>
      <w:r>
        <w:rPr>
          <w:rFonts w:ascii="Arial" w:cs="Arial" w:eastAsia="Arial" w:hAnsi="Arial"/>
          <w:sz w:val="24"/>
          <w:szCs w:val="24"/>
        </w:rPr>
        <w:t xml:space="preserve">Signature Trail: Cryptographic signing of pharmacist approvals</w:t>
      </w:r>
    </w:p>
    <w:p>
      <w:pPr>
        <w:pStyle w:val="ListParagraph"/>
        <w:numPr>
          <w:ilvl w:val="0"/>
          <w:numId w:val="2"/>
        </w:numPr>
        <w:spacing w:after="120" w:line="276"/>
      </w:pPr>
      <w:r>
        <w:rPr>
          <w:rFonts w:ascii="Arial" w:cs="Arial" w:eastAsia="Arial" w:hAnsi="Arial"/>
          <w:sz w:val="24"/>
          <w:szCs w:val="24"/>
        </w:rPr>
        <w:t xml:space="preserve">Export Formats: Regulator-ready audit reports in standard formats</w:t>
      </w:r>
    </w:p>
    <w:p>
      <w:r>
        <w:br w:type="page"/>
      </w:r>
    </w:p>
    <w:p>
      <w:pPr>
        <w:pStyle w:val="Heading1"/>
      </w:pPr>
      <w:r>
        <w:t xml:space="preserve">8. Cost-Benefit Analysis</w:t>
      </w:r>
    </w:p>
    <w:p>
      <w:pPr>
        <w:pStyle w:val="Heading2"/>
      </w:pPr>
      <w:r>
        <w:t xml:space="preserve">8.1 Implementation Effort by KB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KB</w:t>
            </w:r>
          </w:p>
        </w:tc>
        <w:tc>
          <w:tcPr>
            <w:tcW w:type="dxa" w:w="1872"/>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LLM Compute</w:t>
            </w:r>
          </w:p>
        </w:tc>
        <w:tc>
          <w:tcPr>
            <w:tcW w:type="dxa" w:w="1872"/>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Human Review</w:t>
            </w:r>
          </w:p>
        </w:tc>
        <w:tc>
          <w:tcPr>
            <w:tcW w:type="dxa" w:w="1872"/>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Maintenance</w:t>
            </w:r>
          </w:p>
        </w:tc>
        <w:tc>
          <w:tcPr>
            <w:tcW w:type="dxa" w:w="1872"/>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KB-5 DDI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Monthly sync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HIGHEST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KB-6 Formulary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Annual update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KB-16 Labs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Rare updates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KB-1 Renal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Monthly SPL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KB-4 Safety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Monthly SPL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bl>
    <w:p>
      <w:pPr>
        <w:pStyle w:val="Heading2"/>
      </w:pPr>
      <w:r>
        <w:t xml:space="preserve">8.2 ROI Timeline</w:t>
      </w:r>
    </w:p>
    <w:p>
      <w:pPr>
        <w:pStyle w:val="ListParagraph"/>
        <w:numPr>
          <w:ilvl w:val="0"/>
          <w:numId w:val="2"/>
        </w:numPr>
        <w:spacing w:after="120" w:line="276"/>
      </w:pPr>
      <w:r>
        <w:rPr>
          <w:rFonts w:ascii="Arial" w:cs="Arial" w:eastAsia="Arial" w:hAnsi="Arial"/>
          <w:sz w:val="24"/>
          <w:szCs w:val="24"/>
        </w:rPr>
        <w:t xml:space="preserve">Week 4: DDI checking live (4M+ drug pairs, zero AI risk)</w:t>
      </w:r>
    </w:p>
    <w:p>
      <w:pPr>
        <w:pStyle w:val="ListParagraph"/>
        <w:numPr>
          <w:ilvl w:val="0"/>
          <w:numId w:val="2"/>
        </w:numPr>
        <w:spacing w:after="120" w:line="276"/>
      </w:pPr>
      <w:r>
        <w:rPr>
          <w:rFonts w:ascii="Arial" w:cs="Arial" w:eastAsia="Arial" w:hAnsi="Arial"/>
          <w:sz w:val="24"/>
          <w:szCs w:val="24"/>
        </w:rPr>
        <w:t xml:space="preserve">Week 6: Governance infrastructure operational (prevents silent failures)</w:t>
      </w:r>
    </w:p>
    <w:p>
      <w:pPr>
        <w:pStyle w:val="ListParagraph"/>
        <w:numPr>
          <w:ilvl w:val="0"/>
          <w:numId w:val="2"/>
        </w:numPr>
        <w:spacing w:after="120" w:line="276"/>
      </w:pPr>
      <w:r>
        <w:rPr>
          <w:rFonts w:ascii="Arial" w:cs="Arial" w:eastAsia="Arial" w:hAnsi="Arial"/>
          <w:sz w:val="24"/>
          <w:szCs w:val="24"/>
        </w:rPr>
        <w:t xml:space="preserve">Week 10: Renal dosing for 500+ drugs (highest clinical value)</w:t>
      </w:r>
    </w:p>
    <w:p>
      <w:pPr>
        <w:pStyle w:val="ListParagraph"/>
        <w:numPr>
          <w:ilvl w:val="0"/>
          <w:numId w:val="2"/>
        </w:numPr>
        <w:spacing w:after="120" w:line="276"/>
      </w:pPr>
      <w:r>
        <w:rPr>
          <w:rFonts w:ascii="Arial" w:cs="Arial" w:eastAsia="Arial" w:hAnsi="Arial"/>
          <w:sz w:val="24"/>
          <w:szCs w:val="24"/>
        </w:rPr>
        <w:t xml:space="preserve">Week 13: Full explainability (regulator-ready system)</w:t>
      </w:r>
    </w:p>
    <w:p>
      <w:r>
        <w:br w:type="page"/>
      </w:r>
    </w:p>
    <w:p>
      <w:pPr>
        <w:pStyle w:val="Heading1"/>
      </w:pPr>
      <w:r>
        <w:t xml:space="preserve">9. Final Recommendations and Next Steps</w:t>
      </w:r>
    </w:p>
    <w:p>
      <w:pPr>
        <w:pStyle w:val="Heading2"/>
      </w:pPr>
      <w:r>
        <w:t xml:space="preserve">9.1 Immediate Actions (This Week)</w:t>
      </w:r>
    </w:p>
    <w:p>
      <w:pPr>
        <w:pStyle w:val="ListParagraph"/>
        <w:numPr>
          <w:ilvl w:val="0"/>
          <w:numId w:val="3"/>
        </w:numPr>
        <w:spacing w:after="120" w:line="276"/>
      </w:pPr>
      <w:r>
        <w:rPr>
          <w:rFonts w:ascii="Arial" w:cs="Arial" w:eastAsia="Arial" w:hAnsi="Arial"/>
          <w:sz w:val="24"/>
          <w:szCs w:val="24"/>
        </w:rPr>
        <w:t xml:space="preserve">Freeze the Fact Schema: No more edits after governance sign-off</w:t>
      </w:r>
    </w:p>
    <w:p>
      <w:pPr>
        <w:pStyle w:val="ListParagraph"/>
        <w:numPr>
          <w:ilvl w:val="0"/>
          <w:numId w:val="3"/>
        </w:numPr>
        <w:spacing w:after="120" w:line="276"/>
      </w:pPr>
      <w:r>
        <w:rPr>
          <w:rFonts w:ascii="Arial" w:cs="Arial" w:eastAsia="Arial" w:hAnsi="Arial"/>
          <w:sz w:val="24"/>
          <w:szCs w:val="24"/>
        </w:rPr>
        <w:t xml:space="preserve">Lock FactExtractor Interface: This is the anti-vendor-lock-in layer</w:t>
      </w:r>
    </w:p>
    <w:p>
      <w:pPr>
        <w:pStyle w:val="ListParagraph"/>
        <w:numPr>
          <w:ilvl w:val="0"/>
          <w:numId w:val="3"/>
        </w:numPr>
        <w:spacing w:after="120" w:line="276"/>
      </w:pPr>
      <w:r>
        <w:rPr>
          <w:rFonts w:ascii="Arial" w:cs="Arial" w:eastAsia="Arial" w:hAnsi="Arial"/>
          <w:sz w:val="24"/>
          <w:szCs w:val="24"/>
        </w:rPr>
        <w:t xml:space="preserve">Begin Drug Master Sync: Start RxNorm population immediately</w:t>
      </w:r>
    </w:p>
    <w:p>
      <w:pPr>
        <w:pStyle w:val="ListParagraph"/>
        <w:numPr>
          <w:ilvl w:val="0"/>
          <w:numId w:val="3"/>
        </w:numPr>
        <w:spacing w:after="120" w:line="276"/>
      </w:pPr>
      <w:r>
        <w:rPr>
          <w:rFonts w:ascii="Arial" w:cs="Arial" w:eastAsia="Arial" w:hAnsi="Arial"/>
          <w:sz w:val="24"/>
          <w:szCs w:val="24"/>
        </w:rPr>
        <w:t xml:space="preserve">Establish Schema Governance: Changes require formal approval process</w:t>
      </w:r>
    </w:p>
    <w:p>
      <w:pPr>
        <w:pStyle w:val="Heading2"/>
      </w:pPr>
      <w:r>
        <w:t xml:space="preserve">9.2 Architecture Sign-offs Required</w:t>
      </w:r>
    </w:p>
    <w:p>
      <w:pPr>
        <w:pStyle w:val="ListParagraph"/>
        <w:numPr>
          <w:ilvl w:val="0"/>
          <w:numId w:val="2"/>
        </w:numPr>
        <w:spacing w:after="120" w:line="276"/>
      </w:pPr>
      <w:r>
        <w:rPr>
          <w:rFonts w:ascii="Arial" w:cs="Arial" w:eastAsia="Arial" w:hAnsi="Arial"/>
          <w:sz w:val="24"/>
          <w:szCs w:val="24"/>
        </w:rPr>
        <w:t xml:space="preserve">Fact Schema v1.0: Clinical informaticist review</w:t>
      </w:r>
    </w:p>
    <w:p>
      <w:pPr>
        <w:pStyle w:val="ListParagraph"/>
        <w:numPr>
          <w:ilvl w:val="0"/>
          <w:numId w:val="2"/>
        </w:numPr>
        <w:spacing w:after="120" w:line="276"/>
      </w:pPr>
      <w:r>
        <w:rPr>
          <w:rFonts w:ascii="Arial" w:cs="Arial" w:eastAsia="Arial" w:hAnsi="Arial"/>
          <w:sz w:val="24"/>
          <w:szCs w:val="24"/>
        </w:rPr>
        <w:t xml:space="preserve">Precedence Rules: Pharmacist clinical review</w:t>
      </w:r>
    </w:p>
    <w:p>
      <w:pPr>
        <w:pStyle w:val="ListParagraph"/>
        <w:numPr>
          <w:ilvl w:val="0"/>
          <w:numId w:val="2"/>
        </w:numPr>
        <w:spacing w:after="120" w:line="276"/>
      </w:pPr>
      <w:r>
        <w:rPr>
          <w:rFonts w:ascii="Arial" w:cs="Arial" w:eastAsia="Arial" w:hAnsi="Arial"/>
          <w:sz w:val="24"/>
          <w:szCs w:val="24"/>
        </w:rPr>
        <w:t xml:space="preserve">Confidence Thresholds: Risk management and clinical leadership</w:t>
      </w:r>
    </w:p>
    <w:p>
      <w:pPr>
        <w:pStyle w:val="ListParagraph"/>
        <w:numPr>
          <w:ilvl w:val="0"/>
          <w:numId w:val="2"/>
        </w:numPr>
        <w:spacing w:after="120" w:line="276"/>
      </w:pPr>
      <w:r>
        <w:rPr>
          <w:rFonts w:ascii="Arial" w:cs="Arial" w:eastAsia="Arial" w:hAnsi="Arial"/>
          <w:sz w:val="24"/>
          <w:szCs w:val="24"/>
        </w:rPr>
        <w:t xml:space="preserve">Governance Workflow: Compliance and legal review</w:t>
      </w:r>
    </w:p>
    <w:p>
      <w:pPr>
        <w:pStyle w:val="Heading2"/>
      </w:pPr>
      <w:r>
        <w:t xml:space="preserve">9.3 Suggested Follow-on Work</w:t>
      </w:r>
    </w:p>
    <w:p>
      <w:pPr>
        <w:pStyle w:val="ListParagraph"/>
        <w:numPr>
          <w:ilvl w:val="0"/>
          <w:numId w:val="2"/>
        </w:numPr>
        <w:spacing w:after="120" w:line="276"/>
      </w:pPr>
      <w:r>
        <w:rPr>
          <w:rFonts w:ascii="Arial" w:cs="Arial" w:eastAsia="Arial" w:hAnsi="Arial"/>
          <w:sz w:val="24"/>
          <w:szCs w:val="24"/>
        </w:rPr>
        <w:t xml:space="preserve">Stress-test against ICU polypharmacy scenarios (8+ concurrent medications)</w:t>
      </w:r>
    </w:p>
    <w:p>
      <w:pPr>
        <w:pStyle w:val="ListParagraph"/>
        <w:numPr>
          <w:ilvl w:val="0"/>
          <w:numId w:val="2"/>
        </w:numPr>
        <w:spacing w:after="120" w:line="276"/>
      </w:pPr>
      <w:r>
        <w:rPr>
          <w:rFonts w:ascii="Arial" w:cs="Arial" w:eastAsia="Arial" w:hAnsi="Arial"/>
          <w:sz w:val="24"/>
          <w:szCs w:val="24"/>
        </w:rPr>
        <w:t xml:space="preserve">Formalize as regulator-ready architecture paper for FDA/CDSCO submission</w:t>
      </w:r>
    </w:p>
    <w:p>
      <w:pPr>
        <w:pStyle w:val="ListParagraph"/>
        <w:numPr>
          <w:ilvl w:val="0"/>
          <w:numId w:val="2"/>
        </w:numPr>
        <w:spacing w:after="120" w:line="276"/>
      </w:pPr>
      <w:r>
        <w:rPr>
          <w:rFonts w:ascii="Arial" w:cs="Arial" w:eastAsia="Arial" w:hAnsi="Arial"/>
          <w:sz w:val="24"/>
          <w:szCs w:val="24"/>
        </w:rPr>
        <w:t xml:space="preserve">Design the pharmacist review UX for KB-18</w:t>
      </w:r>
    </w:p>
    <w:p>
      <w:pPr>
        <w:pStyle w:val="ListParagraph"/>
        <w:numPr>
          <w:ilvl w:val="0"/>
          <w:numId w:val="2"/>
        </w:numPr>
        <w:spacing w:after="120" w:line="276"/>
      </w:pPr>
      <w:r>
        <w:rPr>
          <w:rFonts w:ascii="Arial" w:cs="Arial" w:eastAsia="Arial" w:hAnsi="Arial"/>
          <w:sz w:val="24"/>
          <w:szCs w:val="24"/>
        </w:rPr>
        <w:t xml:space="preserve">Simulate LLM failure modes and containment scenarios</w:t>
      </w:r>
    </w:p>
    <w:p>
      <w:pPr>
        <w:spacing w:before="400"/>
      </w:pPr>
      <w:r>
        <w:rPr>
          <w:rFonts w:ascii="Arial" w:cs="Arial" w:eastAsia="Arial" w:hAnsi="Arial"/>
          <w:b/>
          <w:bCs/>
          <w:color w:val="1E3A5F"/>
          <w:sz w:val="28"/>
          <w:szCs w:val="28"/>
        </w:rPr>
        <w:t xml:space="preserve">Conclusion</w:t>
      </w:r>
    </w:p>
    <w:p>
      <w:pPr>
        <w:spacing w:after="200" w:line="276"/>
      </w:pPr>
      <w:r>
        <w:rPr>
          <w:rFonts w:ascii="Arial" w:cs="Arial" w:eastAsia="Arial" w:hAnsi="Arial"/>
          <w:sz w:val="24"/>
          <w:szCs w:val="24"/>
        </w:rPr>
        <w:t xml:space="preserve">You are not building KB-1, KB-4, KB-5. You are building a Clinical Knowledge Operating System with immutable meaning, replaceable intelligence, deterministic governance, and temporal accountability. This architecture will survive LLM obsolescence, regulatory change, geographic expansion, incident reviews, and scale. The key is executing with discipline: lock the spine first, ship value without AI risk, then add intelligence with full controls.</w:t>
      </w:r>
    </w:p>
    <w:p>
      <w:pPr>
        <w:spacing w:before="600"/>
        <w:jc w:val="center"/>
      </w:pPr>
      <w:r>
        <w:rPr>
          <w:rFonts w:ascii="Arial" w:cs="Arial" w:eastAsia="Arial" w:hAnsi="Arial"/>
          <w:b/>
          <w:bCs/>
          <w:i/>
          <w:iCs/>
          <w:color w:val="2E7D4A"/>
          <w:sz w:val="28"/>
          <w:szCs w:val="28"/>
        </w:rPr>
        <w:t xml:space="preserve">You are absolutely on the right trajectory.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of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Clinical Knowledge Operating System | Future-Proof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2026-01-19T04:31:32.608Z</dcterms:created>
  <dcterms:modified xsi:type="dcterms:W3CDTF">2026-01-19T04:31:32.609Z</dcterms:modified>
</cp:coreProperties>
</file>

<file path=docProps/custom.xml><?xml version="1.0" encoding="utf-8"?>
<Properties xmlns="http://schemas.openxmlformats.org/officeDocument/2006/custom-properties" xmlns:vt="http://schemas.openxmlformats.org/officeDocument/2006/docPropsVTypes"/>
</file>