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BFC9CA"/>
          <w:sz w:val="28"/>
          <w:szCs w:val="28"/>
        </w:rPr>
        <w:t xml:space="preserve">TECHNICAL DESIGN DOCUMENT</w:t>
      </w:r>
    </w:p>
    <w:p>
      <w:pPr>
        <w:spacing w:before="300"/>
      </w:pPr>
    </w:p>
    <w:p>
      <w:pPr>
        <w:jc w:val="center"/>
      </w:pPr>
      <w:r>
        <w:rPr>
          <w:rFonts w:ascii="Arial" w:cs="Arial" w:eastAsia="Arial" w:hAnsi="Arial"/>
          <w:b/>
          <w:bCs/>
          <w:color w:val="0E6655"/>
          <w:sz w:val="52"/>
          <w:szCs w:val="52"/>
        </w:rPr>
        <w:t xml:space="preserve">Phase 3b.6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KB-16 Lab Reference Ranges Ingestion</w:t>
      </w:r>
    </w:p>
    <w:p>
      <w:pPr>
        <w:spacing w:before="150"/>
        <w:jc w:val="center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Context-Aware Lab Interpretation with Conditional Reference Ranges</w:t>
      </w:r>
    </w:p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8"/>
              <w:left w:val="single" w:color="0E6655" w:sz="8"/>
              <w:bottom w:val="single" w:color="0E6655" w:sz="8"/>
              <w:right w:val="single" w:color="0E6655" w:sz="8"/>
            </w:tcBorders>
            <w:shd w:fill="D0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24"/>
                <w:szCs w:val="24"/>
              </w:rPr>
              <w:t xml:space="preserve">"Lab values follow CONDITIONS, not just standard ranges."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 • Gender • Pregnancy/Trimester • Lactation • Renal Function • Gestational Age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BFC9CA"/>
          <w:sz w:val="20"/>
          <w:szCs w:val="20"/>
        </w:rPr>
        <w:t xml:space="preserve">Authority Sources:</w:t>
      </w:r>
    </w:p>
    <w:p>
      <w:pPr>
        <w:jc w:val="center"/>
      </w:pPr>
      <w:r>
        <w:rPr>
          <w:rFonts w:ascii="Courier New" w:cs="Courier New" w:eastAsia="Courier New" w:hAnsi="Courier New"/>
          <w:color w:val="5D6D7E"/>
          <w:sz w:val="18"/>
          <w:szCs w:val="18"/>
        </w:rPr>
        <w:t xml:space="preserve">CLSI  •  CAP  •  ATA  •  ACOG  •  KDIGO  •  WHO  •  ICMR  •  Tietz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Vaidshala Clinical Reasoning Platform</w:t>
      </w:r>
    </w:p>
    <w:p>
      <w:pPr>
        <w:jc w:val="center"/>
      </w:pPr>
      <w:r>
        <w:rPr>
          <w:rFonts w:ascii="Arial" w:cs="Arial" w:eastAsia="Arial" w:hAnsi="Arial"/>
          <w:color w:val="BFC9CA"/>
          <w:sz w:val="20"/>
          <w:szCs w:val="20"/>
        </w:rPr>
        <w:t xml:space="preserve">Version 1.0  |  2026-01-25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Executive Summary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1.1 The Problem with Standard Reference Ranges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Traditional lab systems use single "normal" ranges (e.g., Hemoglobin 12-16 g/dL). But clinical reality is different: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"Standard" Range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Pregnancy T3</w:t>
            </w:r>
          </w:p>
        </w:tc>
        <w:tc>
          <w:tcPr>
            <w:tcW w:type="dxa" w:w="24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Different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Hemoglobin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12.0-16.0 g/dL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10.5-14.0 g/dL</w:t>
            </w:r>
          </w:p>
        </w:tc>
        <w:tc>
          <w:tcPr>
            <w:tcW w:type="dxa" w:w="24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Hemodilution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Creatinine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0.6-1.1 mg/dL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0.4-0.8 mg/dL</w:t>
            </w:r>
          </w:p>
        </w:tc>
        <w:tc>
          <w:tcPr>
            <w:tcW w:type="dxa" w:w="24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↑ GFR in pregnancy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TSH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0.4-4.0 mIU/L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0.3-3.0 mIU/L</w:t>
            </w:r>
          </w:p>
        </w:tc>
        <w:tc>
          <w:tcPr>
            <w:tcW w:type="dxa" w:w="24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hCG cross-reactivity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Fibrinogen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200-400 mg/dL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300-600 mg/dL</w:t>
            </w:r>
          </w:p>
        </w:tc>
        <w:tc>
          <w:tcPr>
            <w:tcW w:type="dxa" w:w="24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Hypercoagulable state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2B21" w:sz="8"/>
              <w:left w:val="single" w:color="922B21" w:sz="8"/>
              <w:bottom w:val="single" w:color="922B21" w:sz="8"/>
              <w:right w:val="single" w:color="922B21" w:sz="8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4"/>
                <w:szCs w:val="24"/>
              </w:rPr>
              <w:t xml:space="preserve">Using standard ranges for pregnant patients = DANGEROUS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False "normal" when actually abnormal, or false "abnormal" when actually normal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1.2 The Solution: Conditional Reference Ranges</w:t>
      </w:r>
    </w:p>
    <w:p>
      <w:r>
        <w:rPr>
          <w:rFonts w:ascii="Arial" w:cs="Arial" w:eastAsia="Arial" w:hAnsi="Arial"/>
          <w:sz w:val="22"/>
          <w:szCs w:val="22"/>
        </w:rPr>
        <w:t xml:space="preserve">KB-16 must select the correct reference range based on PATIENT CONTEXT: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D6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D6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 Variables</w:t>
            </w:r>
          </w:p>
        </w:tc>
        <w:tc>
          <w:tcPr>
            <w:tcW w:type="dxa" w:w="3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D6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Affected Tests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</w:t>
            </w:r>
          </w:p>
        </w:tc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Neonate, Pediatric, Adult, Geriatric</w:t>
            </w:r>
          </w:p>
        </w:tc>
        <w:tc>
          <w:tcPr>
            <w:tcW w:type="dxa" w:w="3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tests (especially CBC, LFTs, Cr)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Gender</w:t>
            </w:r>
          </w:p>
        </w:tc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Male, Female</w:t>
            </w:r>
          </w:p>
        </w:tc>
        <w:tc>
          <w:tcPr>
            <w:tcW w:type="dxa" w:w="3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Hgb, Cr, Ferritin, Hormones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Pregnancy</w:t>
            </w:r>
          </w:p>
        </w:tc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Trimester 1, 2, 3, Postpartum</w:t>
            </w:r>
          </w:p>
        </w:tc>
        <w:tc>
          <w:tcPr>
            <w:tcW w:type="dxa" w:w="3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TSH, Cr, Hgb, Plt, Fibrinogen, LFTs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Lactation</w:t>
            </w:r>
          </w:p>
        </w:tc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Breastfeeding (yes/no)</w:t>
            </w:r>
          </w:p>
        </w:tc>
        <w:tc>
          <w:tcPr>
            <w:tcW w:type="dxa" w:w="3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Prolactin, Calcium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Renal Function</w:t>
            </w:r>
          </w:p>
        </w:tc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CKD Stage 1-5, Dialysis</w:t>
            </w:r>
          </w:p>
        </w:tc>
        <w:tc>
          <w:tcPr>
            <w:tcW w:type="dxa" w:w="3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K, Phosphate, PTH, Hgb targets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Gestational Age</w:t>
            </w:r>
          </w:p>
        </w:tc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Weeks (for neonates)</w:t>
            </w:r>
          </w:p>
        </w:tc>
        <w:tc>
          <w:tcPr>
            <w:tcW w:type="dxa" w:w="3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Bilirubin (Bhutani nomogram)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Architecture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2.1 Conditional Reference Range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1D"/>
                <w:sz w:val="18"/>
                <w:szCs w:val="18"/>
              </w:rPr>
              <w:t xml:space="preserve">// ConditionalReferenceRange struct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type ConditionalReferenceRange struct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Test identification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LOINCCode       string `json:"loinc_code"`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TestName        string `json:"test_name"`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Unit            string `json:"unit"`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CONDITIONS (all must match for this range to apply)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Conditions      RangeConditions `json:"conditions"`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Reference values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LowNormal       *float64 `json:"low_normal,omitempty"`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HighNormal      *float64 `json:"high_normal,omitempty"`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CriticalLow     *float64 `json:"critical_low,omitempty"`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CriticalHigh    *float64 `json:"critical_high,omitempty"`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PanicLow        *float64 `json:"panic_low,omitempty"`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PanicHigh       *float64 `json:"panic_high,omitempty"`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Governance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Authority       string `json:"authority"`        // CLSI, ACOG, ATA, etc.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AuthorityRef    string `json:"authority_ref"`    // Specific guideline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EffectiveDate   string `json:"effective_date"`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ExpirationDate  string `json:"expiration_date,omitempty"`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5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2.2 Range Conditions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1D"/>
                <w:sz w:val="18"/>
                <w:szCs w:val="18"/>
              </w:rPr>
              <w:t xml:space="preserve">// RangeConditions struct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type RangeConditions struct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Demographics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Gender          *string   `json:"gender,omitempty"`           // M, F, null=any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AgeMinYears     *float64  `json:"age_min_years,omitempty"`    // Inclusive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AgeMaxYears     *float64  `json:"age_max_years,omitempty"`    // Exclusive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AgeMinDays      *int      `json:"age_min_days,omitempty"`     // For neonates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AgeMaxDays      *int      `json:"age_max_days,omitempty"`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Pregnancy/Lactation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IsPregnant      *bool     `json:"is_pregnant,omitempty"`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Trimester       *int      `json:"trimester,omitempty"`        // 1, 2, 3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IsPostpartum    *bool     `json:"is_postpartum,omitempty"`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PostpartumWeeks *int      `json:"postpartum_weeks,omitempty"`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IsLactating     *bool     `json:"is_lactating,omitempty"`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Neonatal (for bilirubin nomograms)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GestationalAgeWeeks *int  `json:"gestational_age_weeks,omitempty"`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BirthWeightGrams    *int  `json:"birth_weight_grams,omitempty"`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HoursOfLife         *int  `json:"hours_of_life,omitempty"`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Renal status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CKDStage        *int      `json:"ckd_stage,omitempty"`        // 1-5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IsOnDialysis    *bool     `json:"is_on_dialysis,omitempty"`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eGFR_Min        *float64  `json:"egfr_min,omitempty"`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eGFR_Max        *float64  `json:"egfr_max,omitempty"`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Priority (higher = more specific, wins ties)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SpecificityScore int      `json:"specificity_score"`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5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2.3 Range Selection Algorithm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1D"/>
                <w:sz w:val="18"/>
                <w:szCs w:val="18"/>
              </w:rPr>
              <w:t xml:space="preserve">// Range Selection Algorithm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 (e *ReferenceEngine) SelectRange(ctx context.Context,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loincCode string, patient *PatientContext) (*ConditionalReferenceRange, error)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1. Get all ranges for this LOINC code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ranges := e.getRangesForLOINC(loincCode)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2. Filter to ranges where ALL conditions match patient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var matching []*ConditionalReferenceRange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for _, r := range ranges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if e.conditionsMatch(r.Conditions, patient)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matching = append(matching, r)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3. If no match, return default (conditions all null)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if len(matching) == 0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return e.getDefaultRange(loincCode)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4. If multiple match, select MOST SPECIFIC (highest SpecificityScore)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sort.Slice(matching, func(i, j int) bool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return matching[i].Conditions.SpecificityScore &gt; matching[j].Conditions.SpecificityScore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})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return matching[0], nil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Condition-Specific Reference Ranges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76448A"/>
          <w:sz w:val="28"/>
          <w:szCs w:val="28"/>
        </w:rPr>
        <w:t xml:space="preserve">3.1 Pregnancy-Specific Ranges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1800"/>
        <w:gridCol w:w="1800"/>
        <w:gridCol w:w="1960"/>
      </w:tblGrid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7644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7644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7644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T1 (1-13w)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7644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T2 (14-27w)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7644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T3 (28-40w)</w:t>
            </w:r>
          </w:p>
        </w:tc>
        <w:tc>
          <w:tcPr>
            <w:tcW w:type="dxa" w:w="1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7644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Authority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Hemoglobin</w:t>
            </w:r>
          </w:p>
        </w:tc>
        <w:tc>
          <w:tcPr>
            <w:tcW w:type="dxa" w:w="1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g/dL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11.0-14.0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10.5-14.0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10.5-14.0</w:t>
            </w:r>
          </w:p>
        </w:tc>
        <w:tc>
          <w:tcPr>
            <w:tcW w:type="dxa" w:w="1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WHO, ACOG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Platelets</w:t>
            </w:r>
          </w:p>
        </w:tc>
        <w:tc>
          <w:tcPr>
            <w:tcW w:type="dxa" w:w="1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k/µL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&gt;150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&gt;100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&gt;100</w:t>
            </w:r>
          </w:p>
        </w:tc>
        <w:tc>
          <w:tcPr>
            <w:tcW w:type="dxa" w:w="1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ACOG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Creatinine</w:t>
            </w:r>
          </w:p>
        </w:tc>
        <w:tc>
          <w:tcPr>
            <w:tcW w:type="dxa" w:w="1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mg/dL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0.4-0.7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0.4-0.8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0.4-0.9</w:t>
            </w:r>
          </w:p>
        </w:tc>
        <w:tc>
          <w:tcPr>
            <w:tcW w:type="dxa" w:w="1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ACOG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TSH</w:t>
            </w:r>
          </w:p>
        </w:tc>
        <w:tc>
          <w:tcPr>
            <w:tcW w:type="dxa" w:w="1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mIU/L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0.1-2.5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0.2-3.0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0.3-3.0</w:t>
            </w:r>
          </w:p>
        </w:tc>
        <w:tc>
          <w:tcPr>
            <w:tcW w:type="dxa" w:w="1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ATA 2017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Fibrinogen</w:t>
            </w:r>
          </w:p>
        </w:tc>
        <w:tc>
          <w:tcPr>
            <w:tcW w:type="dxa" w:w="1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mg/dL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300-500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350-550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400-600</w:t>
            </w:r>
          </w:p>
        </w:tc>
        <w:tc>
          <w:tcPr>
            <w:tcW w:type="dxa" w:w="1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ACOG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Uric Acid</w:t>
            </w:r>
          </w:p>
        </w:tc>
        <w:tc>
          <w:tcPr>
            <w:tcW w:type="dxa" w:w="1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mg/dL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2.0-4.5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2.5-5.0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2.5-5.5</w:t>
            </w:r>
          </w:p>
        </w:tc>
        <w:tc>
          <w:tcPr>
            <w:tcW w:type="dxa" w:w="1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ACOG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AST/ALT</w:t>
            </w:r>
          </w:p>
        </w:tc>
        <w:tc>
          <w:tcPr>
            <w:tcW w:type="dxa" w:w="1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U/L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10-35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10-35</w:t>
            </w:r>
          </w:p>
        </w:tc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10-35</w:t>
            </w:r>
          </w:p>
        </w:tc>
        <w:tc>
          <w:tcPr>
            <w:tcW w:type="dxa" w:w="19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AASLD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i/>
          <w:iCs/>
          <w:color w:val="922B21"/>
          <w:sz w:val="18"/>
          <w:szCs w:val="18"/>
        </w:rPr>
        <w:t xml:space="preserve">Note: AST/ALT ≥2× ULN in pregnancy suggests HELLP syndrome → immediate escalation</w:t>
      </w:r>
    </w:p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B35A00"/>
          <w:sz w:val="28"/>
          <w:szCs w:val="28"/>
        </w:rPr>
        <w:t xml:space="preserve">3.2 Renal Function-Adjusted Ranges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100"/>
        <w:gridCol w:w="2100"/>
        <w:gridCol w:w="2160"/>
      </w:tblGrid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B35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B35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21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B35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CKD 1-2 (eGFR ≥60)</w:t>
            </w:r>
          </w:p>
        </w:tc>
        <w:tc>
          <w:tcPr>
            <w:tcW w:type="dxa" w:w="21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B35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CKD 3-4 (eGFR 15-59)</w:t>
            </w:r>
          </w:p>
        </w:tc>
        <w:tc>
          <w:tcPr>
            <w:tcW w:type="dxa" w:w="2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B35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CKD 5 / Dialysis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Potassium</w:t>
            </w:r>
          </w:p>
        </w:tc>
        <w:tc>
          <w:tcPr>
            <w:tcW w:type="dxa" w:w="1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mEq/L</w:t>
            </w:r>
          </w:p>
        </w:tc>
        <w:tc>
          <w:tcPr>
            <w:tcW w:type="dxa" w:w="21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3.5-5.0</w:t>
            </w:r>
          </w:p>
        </w:tc>
        <w:tc>
          <w:tcPr>
            <w:tcW w:type="dxa" w:w="21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3.5-5.5</w:t>
            </w:r>
          </w:p>
        </w:tc>
        <w:tc>
          <w:tcPr>
            <w:tcW w:type="dxa" w:w="2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3.5-6.0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Phosphate</w:t>
            </w:r>
          </w:p>
        </w:tc>
        <w:tc>
          <w:tcPr>
            <w:tcW w:type="dxa" w:w="1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mg/dL</w:t>
            </w:r>
          </w:p>
        </w:tc>
        <w:tc>
          <w:tcPr>
            <w:tcW w:type="dxa" w:w="21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2.5-4.5</w:t>
            </w:r>
          </w:p>
        </w:tc>
        <w:tc>
          <w:tcPr>
            <w:tcW w:type="dxa" w:w="21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2.5-4.5</w:t>
            </w:r>
          </w:p>
        </w:tc>
        <w:tc>
          <w:tcPr>
            <w:tcW w:type="dxa" w:w="2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3.5-5.5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Hemoglobin Target</w:t>
            </w:r>
          </w:p>
        </w:tc>
        <w:tc>
          <w:tcPr>
            <w:tcW w:type="dxa" w:w="1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g/dL</w:t>
            </w:r>
          </w:p>
        </w:tc>
        <w:tc>
          <w:tcPr>
            <w:tcW w:type="dxa" w:w="21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12-16 (F), 14-18 (M)</w:t>
            </w:r>
          </w:p>
        </w:tc>
        <w:tc>
          <w:tcPr>
            <w:tcW w:type="dxa" w:w="21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10-12</w:t>
            </w:r>
          </w:p>
        </w:tc>
        <w:tc>
          <w:tcPr>
            <w:tcW w:type="dxa" w:w="2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10-11.5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PTH</w:t>
            </w:r>
          </w:p>
        </w:tc>
        <w:tc>
          <w:tcPr>
            <w:tcW w:type="dxa" w:w="1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pg/mL</w:t>
            </w:r>
          </w:p>
        </w:tc>
        <w:tc>
          <w:tcPr>
            <w:tcW w:type="dxa" w:w="21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15-65</w:t>
            </w:r>
          </w:p>
        </w:tc>
        <w:tc>
          <w:tcPr>
            <w:tcW w:type="dxa" w:w="21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35-150</w:t>
            </w:r>
          </w:p>
        </w:tc>
        <w:tc>
          <w:tcPr>
            <w:tcW w:type="dxa" w:w="2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150-600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Authority: KDIGO 2012 Guidelines for CKD management</w:t>
      </w:r>
    </w:p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3.3 Age-Specific Ranges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600"/>
        <w:gridCol w:w="1600"/>
        <w:gridCol w:w="1600"/>
        <w:gridCol w:w="1560"/>
      </w:tblGrid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Neonate</w:t>
            </w:r>
          </w:p>
        </w:tc>
        <w:tc>
          <w:tcPr>
            <w:tcW w:type="dxa" w:w="1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Pediatric</w:t>
            </w:r>
          </w:p>
        </w:tc>
        <w:tc>
          <w:tcPr>
            <w:tcW w:type="dxa" w:w="1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Adult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Geriatric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Hemoglobin</w:t>
            </w:r>
          </w:p>
        </w:tc>
        <w:tc>
          <w:tcPr>
            <w:tcW w:type="dxa" w:w="1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g/dL</w:t>
            </w:r>
          </w:p>
        </w:tc>
        <w:tc>
          <w:tcPr>
            <w:tcW w:type="dxa" w:w="1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14-24</w:t>
            </w:r>
          </w:p>
        </w:tc>
        <w:tc>
          <w:tcPr>
            <w:tcW w:type="dxa" w:w="1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11-14</w:t>
            </w:r>
          </w:p>
        </w:tc>
        <w:tc>
          <w:tcPr>
            <w:tcW w:type="dxa" w:w="1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12-16 (F)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11-15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WBC</w:t>
            </w:r>
          </w:p>
        </w:tc>
        <w:tc>
          <w:tcPr>
            <w:tcW w:type="dxa" w:w="1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k/µL</w:t>
            </w:r>
          </w:p>
        </w:tc>
        <w:tc>
          <w:tcPr>
            <w:tcW w:type="dxa" w:w="1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9-30</w:t>
            </w:r>
          </w:p>
        </w:tc>
        <w:tc>
          <w:tcPr>
            <w:tcW w:type="dxa" w:w="1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5-15</w:t>
            </w:r>
          </w:p>
        </w:tc>
        <w:tc>
          <w:tcPr>
            <w:tcW w:type="dxa" w:w="1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4.5-11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3.5-10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Creatinine</w:t>
            </w:r>
          </w:p>
        </w:tc>
        <w:tc>
          <w:tcPr>
            <w:tcW w:type="dxa" w:w="1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mg/dL</w:t>
            </w:r>
          </w:p>
        </w:tc>
        <w:tc>
          <w:tcPr>
            <w:tcW w:type="dxa" w:w="1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0.2-0.4</w:t>
            </w:r>
          </w:p>
        </w:tc>
        <w:tc>
          <w:tcPr>
            <w:tcW w:type="dxa" w:w="1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0.3-0.7</w:t>
            </w:r>
          </w:p>
        </w:tc>
        <w:tc>
          <w:tcPr>
            <w:tcW w:type="dxa" w:w="1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0.6-1.2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0.7-1.3</w:t>
            </w:r>
          </w:p>
        </w:tc>
      </w:tr>
      <w:tr>
        <w:tc>
          <w:tcPr>
            <w:tcW w:type="dxa" w:w="1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ALP</w:t>
            </w:r>
          </w:p>
        </w:tc>
        <w:tc>
          <w:tcPr>
            <w:tcW w:type="dxa" w:w="1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U/L</w:t>
            </w:r>
          </w:p>
        </w:tc>
        <w:tc>
          <w:tcPr>
            <w:tcW w:type="dxa" w:w="1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150-420</w:t>
            </w:r>
          </w:p>
        </w:tc>
        <w:tc>
          <w:tcPr>
            <w:tcW w:type="dxa" w:w="1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100-350</w:t>
            </w:r>
          </w:p>
        </w:tc>
        <w:tc>
          <w:tcPr>
            <w:tcW w:type="dxa" w:w="1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44-147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50-160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Neonatal Bilirubin (Bhutani Nomogram)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Neonatal jaundice requires hour-of-life-based thresholds, not fixed ranges. The Bhutani nomogram defines risk zones.</w:t>
      </w:r>
    </w:p>
    <w:p>
      <w:pPr>
        <w:pStyle w:val="Heading2"/>
        <w:spacing w:before="15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4.1 Phototherapy Thresholds by Risk Category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9A7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 of Life</w:t>
            </w:r>
          </w:p>
        </w:tc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9A7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 Risk (≥38w)</w:t>
            </w:r>
          </w:p>
        </w:tc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9A7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 Risk (35-37w)</w:t>
            </w:r>
          </w:p>
        </w:tc>
        <w:tc>
          <w:tcPr>
            <w:tcW w:type="dxa" w:w="2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9A7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Risk (&lt;35w)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24h</w:t>
            </w:r>
          </w:p>
        </w:tc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mg/dL</w:t>
            </w:r>
          </w:p>
        </w:tc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mg/dL</w:t>
            </w:r>
          </w:p>
        </w:tc>
        <w:tc>
          <w:tcPr>
            <w:tcW w:type="dxa" w:w="2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mg/dL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48h</w:t>
            </w:r>
          </w:p>
        </w:tc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mg/dL</w:t>
            </w:r>
          </w:p>
        </w:tc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 mg/dL</w:t>
            </w:r>
          </w:p>
        </w:tc>
        <w:tc>
          <w:tcPr>
            <w:tcW w:type="dxa" w:w="2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mg/dL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72h</w:t>
            </w:r>
          </w:p>
        </w:tc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 mg/dL</w:t>
            </w:r>
          </w:p>
        </w:tc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mg/dL</w:t>
            </w:r>
          </w:p>
        </w:tc>
        <w:tc>
          <w:tcPr>
            <w:tcW w:type="dxa" w:w="2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 mg/dL</w:t>
            </w:r>
          </w:p>
        </w:tc>
      </w:tr>
      <w:tr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96h+</w:t>
            </w:r>
          </w:p>
        </w:tc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mg/dL</w:t>
            </w:r>
          </w:p>
        </w:tc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 mg/dL</w:t>
            </w:r>
          </w:p>
        </w:tc>
        <w:tc>
          <w:tcPr>
            <w:tcW w:type="dxa" w:w="2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mg/dL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Authority: AAP Clinical Practice Guideline 2022 (reaffirmed)</w:t>
      </w:r>
    </w:p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4.2 Neonatal Bilirubin Range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1D"/>
                <w:sz w:val="18"/>
                <w:szCs w:val="18"/>
              </w:rPr>
              <w:t xml:space="preserve">// Neonatal Bilirubin Schema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Neonatal bilirubin uses hour-of-life interpolation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type NeonatalBilirubinThreshold struct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GestationalAgeWeeksMin int     `json:"ga_weeks_min"`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GestationalAgeWeeksMax int     `json:"ga_weeks_max"`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RiskCategory           string  `json:"risk_category"`  // LOW, MEDIUM, HIGH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Thresholds by hour of life (interpolate between points)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HourThresholds []HourThreshold `json:"hour_thresholds"`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Authority              string  `json:"authority"`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type HourThreshold struct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HourOfLife        int     `json:"hour_of_life"`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PhotoThreshold    float64 `json:"photo_threshold"`      // Start phototherapy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ExchangeThreshold float64 `json:"exchange_threshold"`   // Consider exchange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Authority Sources &amp; Ingestion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5.1 Authority Hierarchy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Authority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CLSI C28/EP28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 interval methodology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3-5 years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Specialty Guidelines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ACOG, ATA, KDIGO, ISTH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2-5 years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CAP/Joint Commission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values, reporting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review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Regional (ICMR, RCPA)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Population-specific ranges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Varies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Tietz/Textbook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Comprehensive reference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Edition updates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Assay Package Insert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Method-specific ranges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Lot-dependent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5.2 Ingestion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200"/>
        <w:gridCol w:w="2160"/>
      </w:tblGrid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D6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D6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D6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D6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Needed?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CLSI Documents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Methodology, defaults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→ Manual curation</w:t>
            </w:r>
          </w:p>
        </w:tc>
        <w:tc>
          <w:tcPr>
            <w:tcW w:type="dxa" w:w="2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ACOG Practice Bulletins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Pregnancy ranges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→ Table extraction</w:t>
            </w:r>
          </w:p>
        </w:tc>
        <w:tc>
          <w:tcPr>
            <w:tcW w:type="dxa" w:w="2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ATA Guidelines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Thyroid ranges by trimester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→ Table extraction</w:t>
            </w:r>
          </w:p>
        </w:tc>
        <w:tc>
          <w:tcPr>
            <w:tcW w:type="dxa" w:w="2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KDIGO Guidelines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CKD targets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→ Table extraction</w:t>
            </w:r>
          </w:p>
        </w:tc>
        <w:tc>
          <w:tcPr>
            <w:tcW w:type="dxa" w:w="2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AAP Bilirubin Guideline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Bhutani nomogram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Known tables (static)</w:t>
            </w:r>
          </w:p>
        </w:tc>
        <w:tc>
          <w:tcPr>
            <w:tcW w:type="dxa" w:w="2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Tietz Textbook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Comprehensive ranges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Digitized tables</w:t>
            </w:r>
          </w:p>
        </w:tc>
        <w:tc>
          <w:tcPr>
            <w:tcW w:type="dxa" w:w="21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1D" w:sz="8"/>
              <w:left w:val="single" w:color="1D6A1D" w:sz="8"/>
              <w:bottom w:val="single" w:color="1D6A1D" w:sz="8"/>
              <w:right w:val="single" w:color="1D6A1D" w:sz="8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1D"/>
                <w:sz w:val="24"/>
                <w:szCs w:val="24"/>
              </w:rPr>
              <w:t xml:space="preserve">KB-16 INGESTION IS FULLY DETERMINISTIC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reference ranges come from structured tables in guidelines — NO LLM extraction needed.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Database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1D"/>
                <w:sz w:val="18"/>
                <w:szCs w:val="18"/>
              </w:rPr>
              <w:t xml:space="preserve">// 024_kb16_conditional_ranges.sql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-- Migration: 024_kb16_conditional_ranges.sql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-- Lab test definitions (LOINC-based)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CREATE TABLE lab_tests (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id UUID PRIMARY KEY DEFAULT gen_random_uuid(),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loinc_code VARCHAR(20) NOT NULL UNIQUE,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test_name VARCHAR(200) NOT NULL,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short_name VARCHAR(50),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unit VARCHAR(50) NOT NULL,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specimen_type VARCHAR(50),           -- blood, urine, csf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method VARCHAR(100),                 -- enzymatic, colorimetric, etc.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is_active BOOLEAN DEFAULT TRUE,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created_at TIMESTAMPTZ DEFAULT NOW()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-- Conditional reference ranges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CREATE TABLE conditional_reference_ranges (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id UUID PRIMARY KEY DEFAULT gen_random_uuid(),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lab_test_id UUID NOT NULL REFERENCES lab_tests(id),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-- CONDITIONS (null = any)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gender VARCHAR(1),                    -- M, F, null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age_min_years DECIMAL(5,2),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age_max_years DECIMAL(5,2),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age_min_days INTEGER,                 -- For neonates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age_max_days INTEGER,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is_pregnant BOOLEAN,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trimester INTEGER,                    -- 1, 2, 3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is_postpartum BOOLEAN,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postpartum_weeks INTEGER,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is_lactating BOOLEAN,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gestational_age_weeks_min INTEGER,    -- For neonatal bili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gestational_age_weeks_max INTEGER,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hours_of_life_min INTEGER,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hours_of_life_max INTEGER,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ckd_stage INTEGER,                    -- 1-5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is_on_dialysis BOOLEAN,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egfr_min DECIMAL(6,2),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egfr_max DECIMAL(6,2),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-- REFERENCE VALUES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low_normal DECIMAL(10,4),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high_normal DECIMAL(10,4),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critical_low DECIMAL(10,4),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critical_high DECIMAL(10,4),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panic_low DECIMAL(10,4),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panic_high DECIMAL(10,4),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-- Interpretation hints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interpretation_note TEXT,             -- e.g., "Cr &gt;1.1 in pregnancy = concern"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clinical_action TEXT,                 -- e.g., "Evaluate for preeclampsia"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-- GOVERNANCE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authority VARCHAR(50) NOT NULL,       -- CLSI, ACOG, ATA, KDIGO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authority_reference TEXT NOT NULL,    -- Specific document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authority_version VARCHAR(50),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effective_date DATE NOT NULL,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expiration_date DATE,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-- Priority (higher = more specific)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specificity_score INTEGER DEFAULT 0,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created_at TIMESTAMPTZ DEFAULT NOW(),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updated_at TIMESTAMPTZ DEFAULT NOW()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-- Indexes for fast lookup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CREATE INDEX idx_crr_lab_test ON conditional_reference_ranges(lab_test_id);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CREATE INDEX idx_crr_pregnancy ON conditional_reference_ranges(is_pregnant, trimester);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CREATE INDEX idx_crr_ckd ON conditional_reference_ranges(ckd_stage);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CREATE INDEX idx_crr_age ON conditional_reference_ranges(age_min_years, age_max_years);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CREATE INDEX idx_crr_neonatal ON conditional_reference_ranges(hours_of_life_min, gestational_age_weeks_min);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Implementation 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500"/>
        <w:gridCol w:w="800"/>
        <w:gridCol w:w="800"/>
        <w:gridCol w:w="1760"/>
      </w:tblGrid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17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Authority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Schema + Migration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024_kb16_conditional_ranges.sql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Pregnancy Ranges Ingestion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TSH, Cr, Hgb, Plt, Fibrinogen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ACOG, ATA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Renal Function Ranges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K, Phos, PTH by CKD stage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KDIGO 2012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Age-Specific Ranges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Neonate, Peds, Adult, Geriatric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CLSI, Tietz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Gender-Specific Ranges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Hgb, Cr, Ferritin, Hormones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7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CLSI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Neonatal Bilirubin Nomogram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Bhutani curves by GA/risk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AAP 2022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Critical Values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Panic + Critical thresholds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CAP, JC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Range Selection Engine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 context → best range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India-Specific Ranges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ICMR population adjustments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7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ICMR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Unit + Integration Tests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&gt;85% coverage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7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before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Estimated Effort: 12.5 days (6 FTE days with parallel work)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Exit Criteria</w:t>
      </w:r>
    </w:p>
    <w:p>
      <w:pPr>
        <w:pStyle w:val="ListParagraph"/>
        <w:numPr>
          <w:ilvl w:val="0"/>
          <w:numId w:val="2"/>
        </w:numPr>
        <w:spacing w:before="100" w:after="80"/>
      </w:pPr>
      <w:r>
        <w:rPr>
          <w:rFonts w:ascii="Arial" w:cs="Arial" w:eastAsia="Arial" w:hAnsi="Arial"/>
          <w:sz w:val="20"/>
          <w:szCs w:val="20"/>
        </w:rPr>
        <w:t xml:space="preserve">Conditional reference range schema deployed and populated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Pregnancy-specific ranges for all critical tests (TSH, Cr, Hgb, Plt, LFTs)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CKD-stage-specific targets for K, Phos, PTH, Hgb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Age-stratified ranges (neonate, pediatric, adult, geriatric)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Neonatal bilirubin nomogram with hour-of-life interpolation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Range selection engine correctly picks most-specific matching range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ranges have governance (authority, reference, effective date)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&gt;85% test coverage for range selection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LLM used — all ranges from structured guideline tables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1D" w:sz="8"/>
              <w:left w:val="single" w:color="1D6A1D" w:sz="8"/>
              <w:bottom w:val="single" w:color="1D6A1D" w:sz="8"/>
              <w:right w:val="single" w:color="1D6A1D" w:sz="8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1D"/>
                <w:sz w:val="24"/>
                <w:szCs w:val="24"/>
              </w:rPr>
              <w:t xml:space="preserve">Ready for Phase 3c: LLM Gap-Filling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KB-16 foundation complete. UNTRANSLATABLE prose (rare) goes to LLM Consensus.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12"/>
              <w:left w:val="single" w:color="0E6655" w:sz="12"/>
              <w:bottom w:val="single" w:color="0E6655" w:sz="12"/>
              <w:right w:val="single" w:color="0E6655" w:sz="12"/>
            </w:tcBorders>
            <w:shd w:fill="D0ECE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E6655"/>
                <w:sz w:val="24"/>
                <w:szCs w:val="24"/>
              </w:rPr>
              <w:t xml:space="preserve">"Lab values follow CONDITIONS, not just standard ranges."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 • Gender • Pregnancy • Trimester • Lactation • Renal Function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Context-aware interpretation saves lives.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FC9CA"/>
        <w:sz w:val="18"/>
        <w:szCs w:val="18"/>
      </w:rPr>
      <w:t xml:space="preserve">Vaidshala Clinical Reasoning Platform  |  Page </w:t>
    </w:r>
    <w:r>
      <w:rPr>
        <w:rFonts w:ascii="Arial" w:cs="Arial" w:eastAsia="Arial" w:hAnsi="Arial"/>
        <w:color w:val="BFC9C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BFC9CA"/>
        <w:sz w:val="18"/>
        <w:szCs w:val="18"/>
      </w:rPr>
      <w:t xml:space="preserve">Phase 3b.6: KB-16 Lab Reference Ingestion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2026-01-25T17:31:54.463Z</dcterms:created>
  <dcterms:modified xsi:type="dcterms:W3CDTF">2026-01-25T17:31:54.464Z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