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666666"/>
          <w:sz w:val="36"/>
          <w:szCs w:val="36"/>
        </w:rPr>
        <w:t xml:space="preserve">TECHNICAL DESIGN DOCUMENT</w:t>
      </w:r>
    </w:p>
    <w:p>
      <w:pPr>
        <w:spacing w:before="400"/>
        <w:jc w:val="center"/>
      </w:pPr>
      <w:r>
        <w:rPr>
          <w:b/>
          <w:bCs/>
          <w:color w:val="1A5276"/>
          <w:sz w:val="56"/>
          <w:szCs w:val="56"/>
        </w:rPr>
        <w:t xml:space="preserve">DailyMed SPL Fetcher</w:t>
      </w:r>
    </w:p>
    <w:p>
      <w:pPr>
        <w:spacing w:before="100"/>
        <w:jc w:val="center"/>
      </w:pPr>
      <w:r>
        <w:rPr>
          <w:b/>
          <w:bCs/>
          <w:color w:val="2471A3"/>
          <w:sz w:val="44"/>
          <w:szCs w:val="44"/>
        </w:rPr>
        <w:t xml:space="preserve">with Full XML Parsing</w:t>
      </w:r>
    </w:p>
    <w:p>
      <w:pPr>
        <w:spacing w:before="600"/>
        <w:jc w:val="center"/>
      </w:pPr>
      <w:r>
        <w:rPr>
          <w:i/>
          <w:iCs/>
          <w:color w:val="148F77"/>
          <w:sz w:val="28"/>
          <w:szCs w:val="28"/>
        </w:rPr>
        <w:t xml:space="preserve">Phase 3a: Foundation Infrastructure</w:t>
      </w:r>
    </w:p>
    <w:p>
      <w:pPr>
        <w:spacing w:before="800"/>
        <w:jc w:val="center"/>
      </w:pPr>
      <w:r>
        <w:rPr>
          <w:rFonts w:ascii="Courier New" w:cs="Courier New" w:eastAsia="Courier New" w:hAnsi="Courier New"/>
          <w:color w:val="666666"/>
          <w:sz w:val="24"/>
          <w:szCs w:val="24"/>
        </w:rPr>
        <w:t xml:space="preserve">Component: shared/datasources/dailymed/</w:t>
      </w:r>
    </w:p>
    <w:p>
      <w:pPr>
        <w:spacing w:before="600"/>
        <w:jc w:val="center"/>
      </w:pPr>
      <w:r>
        <w:rPr>
          <w:sz w:val="22"/>
          <w:szCs w:val="22"/>
        </w:rPr>
        <w:t xml:space="preserve">This document defines the technical architecture for fetching,</w:t>
      </w:r>
    </w:p>
    <w:p>
      <w:pPr>
        <w:jc w:val="center"/>
      </w:pPr>
      <w:r>
        <w:rPr>
          <w:sz w:val="22"/>
          <w:szCs w:val="22"/>
        </w:rPr>
        <w:t xml:space="preserve">parsing, and storing FDA Structured Product Labeling (SPL) documents.</w:t>
      </w:r>
    </w:p>
    <w:p>
      <w:pPr>
        <w:spacing w:before="800"/>
        <w:jc w:val="center"/>
      </w:pPr>
      <w:r>
        <w:rPr>
          <w:color w:val="888888"/>
          <w:sz w:val="22"/>
          <w:szCs w:val="22"/>
        </w:rPr>
        <w:t xml:space="preserve">Vaidshala Clinical Reasoning Platform</w:t>
      </w:r>
    </w:p>
    <w:p>
      <w:pPr>
        <w:jc w:val="center"/>
      </w:pPr>
      <w:r>
        <w:rPr>
          <w:color w:val="888888"/>
          <w:sz w:val="20"/>
          <w:szCs w:val="20"/>
        </w:rPr>
        <w:t xml:space="preserve">Version 1.0 | 2026-01-24</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400" w:after="200"/>
      </w:pPr>
      <w:r>
        <w:rPr>
          <w:b/>
          <w:bCs/>
          <w:sz w:val="36"/>
          <w:szCs w:val="36"/>
        </w:rPr>
        <w:t xml:space="preserve">1. Overview</w:t>
      </w:r>
    </w:p>
    <w:p>
      <w:pPr>
        <w:pStyle w:val="Heading2"/>
        <w:spacing w:before="300" w:after="150"/>
      </w:pPr>
      <w:r>
        <w:rPr>
          <w:b/>
          <w:bCs/>
          <w:sz w:val="30"/>
          <w:szCs w:val="30"/>
        </w:rPr>
        <w:t xml:space="preserve">1.1 Purpose</w:t>
      </w:r>
    </w:p>
    <w:p>
      <w:pPr>
        <w:spacing w:after="200" w:line="276"/>
      </w:pPr>
      <w:r>
        <w:rPr>
          <w:sz w:val="24"/>
          <w:szCs w:val="24"/>
        </w:rPr>
        <w:t xml:space="preserve">The DailyMed SPL Fetcher is the foundational component of Phase 3a that retrieves, parses, and stores FDA Structured Product Labeling (SPL) documents. It serves as the primary data acquisition layer for the Source-Centric Clinical Truth Arbitration architecture.</w:t>
      </w:r>
    </w:p>
    <w:p>
      <w:pPr>
        <w:pStyle w:val="Heading2"/>
        <w:spacing w:before="300" w:after="150"/>
      </w:pPr>
      <w:r>
        <w:rPr>
          <w:b/>
          <w:bCs/>
          <w:sz w:val="30"/>
          <w:szCs w:val="30"/>
        </w:rPr>
        <w:t xml:space="preserve">1.2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BB2B9" w:sz="1"/>
              <w:left w:val="single" w:color="ABB2B9" w:sz="1"/>
              <w:bottom w:val="single" w:color="ABB2B9" w:sz="1"/>
              <w:right w:val="single" w:color="ABB2B9" w:sz="1"/>
            </w:tcBorders>
            <w:shd w:fill="27AE60" w:val="clear"/>
            <w:tcMar>
              <w:top w:type="dxa" w:w="60"/>
              <w:left w:type="dxa" w:w="100"/>
              <w:bottom w:type="dxa" w:w="60"/>
              <w:right w:type="dxa" w:w="100"/>
            </w:tcMar>
          </w:tcPr>
          <w:p>
            <w:r>
              <w:rPr>
                <w:b/>
                <w:bCs/>
                <w:color w:val="FFFFFF"/>
                <w:sz w:val="20"/>
                <w:szCs w:val="20"/>
              </w:rPr>
              <w:t xml:space="preserve">In Scope</w:t>
            </w:r>
          </w:p>
        </w:tc>
        <w:tc>
          <w:tcPr>
            <w:tcW w:type="dxa" w:w="6860"/>
            <w:tcBorders>
              <w:top w:val="single" w:color="ABB2B9" w:sz="1"/>
              <w:left w:val="single" w:color="ABB2B9" w:sz="1"/>
              <w:bottom w:val="single" w:color="ABB2B9" w:sz="1"/>
              <w:right w:val="single" w:color="ABB2B9" w:sz="1"/>
            </w:tcBorders>
            <w:shd w:fill="C0392B" w:val="clear"/>
            <w:tcMar>
              <w:top w:type="dxa" w:w="60"/>
              <w:left w:type="dxa" w:w="100"/>
              <w:bottom w:type="dxa" w:w="60"/>
              <w:right w:type="dxa" w:w="100"/>
            </w:tcMar>
          </w:tcPr>
          <w:p>
            <w:r>
              <w:rPr>
                <w:b/>
                <w:bCs/>
                <w:color w:val="FFFFFF"/>
                <w:sz w:val="20"/>
                <w:szCs w:val="20"/>
              </w:rPr>
              <w:t xml:space="preserve">Out of Scope</w:t>
            </w:r>
          </w:p>
        </w:tc>
      </w:tr>
      <w:tr>
        <w:tc>
          <w:tcPr>
            <w:tcW w:type="dxa" w:w="25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 Fetch SPL by SetID, RxCUI, NDC</w:t>
            </w:r>
          </w:p>
          <w:p>
            <w:r>
              <w:rPr>
                <w:sz w:val="18"/>
                <w:szCs w:val="18"/>
              </w:rPr>
              <w:t xml:space="preserve">• Parse HL7 SPL XML structure</w:t>
            </w:r>
          </w:p>
          <w:p>
            <w:r>
              <w:rPr>
                <w:sz w:val="18"/>
                <w:szCs w:val="18"/>
              </w:rPr>
              <w:t xml:space="preserve">• Extract LOINC-coded sections</w:t>
            </w:r>
          </w:p>
          <w:p>
            <w:r>
              <w:rPr>
                <w:sz w:val="18"/>
                <w:szCs w:val="18"/>
              </w:rPr>
              <w:t xml:space="preserve">• Delta sync (daily/weekly)</w:t>
            </w:r>
          </w:p>
          <w:p>
            <w:r>
              <w:rPr>
                <w:sz w:val="18"/>
                <w:szCs w:val="18"/>
              </w:rPr>
              <w:t xml:space="preserve">• Store to source_documents table</w:t>
            </w:r>
          </w:p>
          <w:p>
            <w:r>
              <w:rPr>
                <w:sz w:val="18"/>
                <w:szCs w:val="18"/>
              </w:rPr>
              <w:t xml:space="preserve">• Route sections to target KBs</w:t>
            </w:r>
          </w:p>
          <w:p>
            <w:r>
              <w:rPr>
                <w:sz w:val="18"/>
                <w:szCs w:val="18"/>
              </w:rPr>
              <w:t xml:space="preserve">• Version tracking &amp; history</w:t>
            </w:r>
          </w:p>
        </w:tc>
        <w:tc>
          <w:tcPr>
            <w:tcW w:type="dxa" w:w="68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 Clinical fact extraction (Phase 3b/3c)</w:t>
            </w:r>
          </w:p>
          <w:p>
            <w:r>
              <w:rPr>
                <w:sz w:val="18"/>
                <w:szCs w:val="18"/>
              </w:rPr>
              <w:t xml:space="preserve">• LLM-based interpretation</w:t>
            </w:r>
          </w:p>
          <w:p>
            <w:r>
              <w:rPr>
                <w:sz w:val="18"/>
                <w:szCs w:val="18"/>
              </w:rPr>
              <w:t xml:space="preserve">• Governance workflows</w:t>
            </w:r>
          </w:p>
          <w:p>
            <w:r>
              <w:rPr>
                <w:sz w:val="18"/>
                <w:szCs w:val="18"/>
              </w:rPr>
              <w:t xml:space="preserve">• TGA/CDSCO/EMA labels (future)</w:t>
            </w:r>
          </w:p>
          <w:p>
            <w:r>
              <w:rPr>
                <w:sz w:val="18"/>
                <w:szCs w:val="18"/>
              </w:rPr>
              <w:t xml:space="preserve">• Image extraction from SPL</w:t>
            </w:r>
          </w:p>
        </w:tc>
      </w:tr>
    </w:tbl>
    <w:p>
      <w:pPr>
        <w:spacing w:before="300"/>
      </w:pPr>
    </w:p>
    <w:p>
      <w:pPr>
        <w:pStyle w:val="Heading2"/>
        <w:spacing w:before="300" w:after="150"/>
      </w:pPr>
      <w:r>
        <w:rPr>
          <w:b/>
          <w:bCs/>
          <w:sz w:val="30"/>
          <w:szCs w:val="30"/>
        </w:rPr>
        <w:t xml:space="preserve">1.3 Key Design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ABB2B9" w:sz="1"/>
              <w:left w:val="single" w:color="ABB2B9" w:sz="1"/>
              <w:bottom w:val="single" w:color="ABB2B9" w:sz="1"/>
              <w:right w:val="single" w:color="ABB2B9" w:sz="1"/>
            </w:tcBorders>
            <w:shd w:fill="F4F6F7" w:val="clear"/>
            <w:tcMar>
              <w:top w:type="dxa" w:w="60"/>
              <w:left w:type="dxa" w:w="100"/>
              <w:bottom w:type="dxa" w:w="60"/>
              <w:right w:type="dxa" w:w="100"/>
            </w:tcMar>
          </w:tcPr>
          <w:p>
            <w:r>
              <w:rPr>
                <w:b/>
                <w:bCs/>
                <w:color w:val="1A5276"/>
                <w:sz w:val="22"/>
                <w:szCs w:val="22"/>
              </w:rPr>
              <w:t xml:space="preserve">1. Source-Centric: </w:t>
            </w:r>
            <w:r>
              <w:rPr>
                <w:sz w:val="22"/>
                <w:szCs w:val="22"/>
              </w:rPr>
              <w:t xml:space="preserve">Parse each SPL document ONCE, store centrally, route to multiple KBs</w:t>
            </w:r>
          </w:p>
          <w:p>
            <w:pPr>
              <w:spacing w:before="100"/>
            </w:pPr>
            <w:r>
              <w:rPr>
                <w:b/>
                <w:bCs/>
                <w:color w:val="1A5276"/>
                <w:sz w:val="22"/>
                <w:szCs w:val="22"/>
              </w:rPr>
              <w:t xml:space="preserve">2. Idempotent: </w:t>
            </w:r>
            <w:r>
              <w:rPr>
                <w:sz w:val="22"/>
                <w:szCs w:val="22"/>
              </w:rPr>
              <w:t xml:space="preserve">Re-running fetch for same SetID+Version produces identical results</w:t>
            </w:r>
          </w:p>
          <w:p>
            <w:pPr>
              <w:spacing w:before="100"/>
            </w:pPr>
            <w:r>
              <w:rPr>
                <w:b/>
                <w:bCs/>
                <w:color w:val="1A5276"/>
                <w:sz w:val="22"/>
                <w:szCs w:val="22"/>
              </w:rPr>
              <w:t xml:space="preserve">3. Traceable: </w:t>
            </w:r>
            <w:r>
              <w:rPr>
                <w:sz w:val="22"/>
                <w:szCs w:val="22"/>
              </w:rPr>
              <w:t xml:space="preserve">Every parsed section links back to source document with hash verification</w:t>
            </w:r>
          </w:p>
          <w:p>
            <w:pPr>
              <w:spacing w:before="100"/>
            </w:pPr>
            <w:r>
              <w:rPr>
                <w:b/>
                <w:bCs/>
                <w:color w:val="1A5276"/>
                <w:sz w:val="22"/>
                <w:szCs w:val="22"/>
              </w:rPr>
              <w:t xml:space="preserve">4. Incremental: </w:t>
            </w:r>
            <w:r>
              <w:rPr>
                <w:sz w:val="22"/>
                <w:szCs w:val="22"/>
              </w:rPr>
              <w:t xml:space="preserve">Delta sync fetches only changed documents since last sync</w:t>
            </w:r>
          </w:p>
          <w:p>
            <w:pPr>
              <w:spacing w:before="100"/>
            </w:pPr>
            <w:r>
              <w:rPr>
                <w:b/>
                <w:bCs/>
                <w:color w:val="1A5276"/>
                <w:sz w:val="22"/>
                <w:szCs w:val="22"/>
              </w:rPr>
              <w:t xml:space="preserve">5. Resilient: </w:t>
            </w:r>
            <w:r>
              <w:rPr>
                <w:sz w:val="22"/>
                <w:szCs w:val="22"/>
              </w:rPr>
              <w:t xml:space="preserve">Graceful handling of API rate limits, malformed XML, network failures</w:t>
            </w:r>
          </w:p>
        </w:tc>
      </w:tr>
    </w:tbl>
    <w:p>
      <w:r>
        <w:br w:type="page"/>
      </w:r>
    </w:p>
    <w:p>
      <w:pPr>
        <w:pStyle w:val="Heading1"/>
        <w:spacing w:before="400" w:after="200"/>
      </w:pPr>
      <w:r>
        <w:rPr>
          <w:b/>
          <w:bCs/>
          <w:sz w:val="36"/>
          <w:szCs w:val="36"/>
        </w:rPr>
        <w:t xml:space="preserve">2. DailyMed API Specification</w:t>
      </w:r>
    </w:p>
    <w:p>
      <w:pPr>
        <w:pStyle w:val="Heading2"/>
        <w:spacing w:before="300" w:after="150"/>
      </w:pPr>
      <w:r>
        <w:rPr>
          <w:b/>
          <w:bCs/>
          <w:sz w:val="30"/>
          <w:szCs w:val="30"/>
        </w:rPr>
        <w:t xml:space="preserve">2.1 API Endpoints</w:t>
      </w:r>
    </w:p>
    <w:p>
      <w:pPr>
        <w:spacing w:after="200" w:line="276"/>
      </w:pPr>
      <w:r>
        <w:rPr>
          <w:sz w:val="24"/>
          <w:szCs w:val="24"/>
        </w:rPr>
        <w:t xml:space="preserve">DailyMed provides a RESTful API (v2) for accessing SPL documents. All endpoints support both XML and JSON responses.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ABB2B9" w:sz="1"/>
              <w:left w:val="single" w:color="ABB2B9" w:sz="1"/>
              <w:bottom w:val="single" w:color="ABB2B9" w:sz="1"/>
              <w:right w:val="single" w:color="ABB2B9" w:sz="1"/>
            </w:tcBorders>
            <w:shd w:fill="148F77" w:val="clear"/>
            <w:tcMar>
              <w:top w:type="dxa" w:w="60"/>
              <w:left w:type="dxa" w:w="100"/>
              <w:bottom w:type="dxa" w:w="60"/>
              <w:right w:type="dxa" w:w="100"/>
            </w:tcMar>
          </w:tcPr>
          <w:p>
            <w:r>
              <w:rPr>
                <w:b/>
                <w:bCs/>
                <w:color w:val="FFFFFF"/>
                <w:sz w:val="20"/>
                <w:szCs w:val="20"/>
              </w:rPr>
              <w:t xml:space="preserve">Endpoint</w:t>
            </w:r>
          </w:p>
        </w:tc>
        <w:tc>
          <w:tcPr>
            <w:tcW w:type="dxa" w:w="3300"/>
            <w:tcBorders>
              <w:top w:val="single" w:color="ABB2B9" w:sz="1"/>
              <w:left w:val="single" w:color="ABB2B9" w:sz="1"/>
              <w:bottom w:val="single" w:color="ABB2B9" w:sz="1"/>
              <w:right w:val="single" w:color="ABB2B9" w:sz="1"/>
            </w:tcBorders>
            <w:shd w:fill="148F77" w:val="clear"/>
            <w:tcMar>
              <w:top w:type="dxa" w:w="60"/>
              <w:left w:type="dxa" w:w="100"/>
              <w:bottom w:type="dxa" w:w="60"/>
              <w:right w:type="dxa" w:w="100"/>
            </w:tcMar>
          </w:tcPr>
          <w:p>
            <w:r>
              <w:rPr>
                <w:b/>
                <w:bCs/>
                <w:color w:val="FFFFFF"/>
                <w:sz w:val="20"/>
                <w:szCs w:val="20"/>
              </w:rPr>
              <w:t xml:space="preserve">Purpose</w:t>
            </w:r>
          </w:p>
        </w:tc>
        <w:tc>
          <w:tcPr>
            <w:tcW w:type="dxa" w:w="3260"/>
            <w:tcBorders>
              <w:top w:val="single" w:color="ABB2B9" w:sz="1"/>
              <w:left w:val="single" w:color="ABB2B9" w:sz="1"/>
              <w:bottom w:val="single" w:color="ABB2B9" w:sz="1"/>
              <w:right w:val="single" w:color="ABB2B9" w:sz="1"/>
            </w:tcBorders>
            <w:shd w:fill="148F77" w:val="clear"/>
            <w:tcMar>
              <w:top w:type="dxa" w:w="60"/>
              <w:left w:type="dxa" w:w="100"/>
              <w:bottom w:type="dxa" w:w="60"/>
              <w:right w:type="dxa" w:w="100"/>
            </w:tcMar>
          </w:tcPr>
          <w:p>
            <w:r>
              <w:rPr>
                <w:b/>
                <w:bCs/>
                <w:color w:val="FFFFFF"/>
                <w:sz w:val="20"/>
                <w:szCs w:val="20"/>
              </w:rPr>
              <w:t xml:space="preserve">Parameters</w:t>
            </w:r>
          </w:p>
        </w:tc>
      </w:tr>
      <w:tr>
        <w:tc>
          <w:tcPr>
            <w:tcW w:type="dxa" w:w="28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/v2/spls.json</w:t>
            </w:r>
          </w:p>
        </w:tc>
        <w:tc>
          <w:tcPr>
            <w:tcW w:type="dxa" w:w="33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List all SPLs with filters</w:t>
            </w:r>
          </w:p>
        </w:tc>
        <w:tc>
          <w:tcPr>
            <w:tcW w:type="dxa" w:w="32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drug_name, rxcui, ndc, published_date, pagesize, page</w:t>
            </w:r>
          </w:p>
        </w:tc>
      </w:tr>
      <w:tr>
        <w:tc>
          <w:tcPr>
            <w:tcW w:type="dxa" w:w="28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/v2/spls/{SETID}.xml</w:t>
            </w:r>
          </w:p>
        </w:tc>
        <w:tc>
          <w:tcPr>
            <w:tcW w:type="dxa" w:w="33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Get full SPL XML document</w:t>
            </w:r>
          </w:p>
        </w:tc>
        <w:tc>
          <w:tcPr>
            <w:tcW w:type="dxa" w:w="32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SETID (required)</w:t>
            </w:r>
          </w:p>
        </w:tc>
      </w:tr>
      <w:tr>
        <w:tc>
          <w:tcPr>
            <w:tcW w:type="dxa" w:w="28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/v2/spls/{SETID}/history.json</w:t>
            </w:r>
          </w:p>
        </w:tc>
        <w:tc>
          <w:tcPr>
            <w:tcW w:type="dxa" w:w="33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Get version history for SPL</w:t>
            </w:r>
          </w:p>
        </w:tc>
        <w:tc>
          <w:tcPr>
            <w:tcW w:type="dxa" w:w="32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SETID (required)</w:t>
            </w:r>
          </w:p>
        </w:tc>
      </w:tr>
      <w:tr>
        <w:tc>
          <w:tcPr>
            <w:tcW w:type="dxa" w:w="28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/v2/rxcuis.json</w:t>
            </w:r>
          </w:p>
        </w:tc>
        <w:tc>
          <w:tcPr>
            <w:tcW w:type="dxa" w:w="33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List RxCUIs with SPLs</w:t>
            </w:r>
          </w:p>
        </w:tc>
        <w:tc>
          <w:tcPr>
            <w:tcW w:type="dxa" w:w="32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setid, ndc, pagesize, page</w:t>
            </w:r>
          </w:p>
        </w:tc>
      </w:tr>
      <w:tr>
        <w:tc>
          <w:tcPr>
            <w:tcW w:type="dxa" w:w="28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/v2/ndcs.json</w:t>
            </w:r>
          </w:p>
        </w:tc>
        <w:tc>
          <w:tcPr>
            <w:tcW w:type="dxa" w:w="33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List NDCs with SPLs</w:t>
            </w:r>
          </w:p>
        </w:tc>
        <w:tc>
          <w:tcPr>
            <w:tcW w:type="dxa" w:w="32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setid, rxcui, pagesize, page</w:t>
            </w:r>
          </w:p>
        </w:tc>
      </w:tr>
    </w:tbl>
    <w:p>
      <w:pPr>
        <w:spacing w:before="300"/>
      </w:pPr>
    </w:p>
    <w:p>
      <w:pPr>
        <w:pStyle w:val="Heading2"/>
        <w:spacing w:before="300" w:after="150"/>
      </w:pPr>
      <w:r>
        <w:rPr>
          <w:b/>
          <w:bCs/>
          <w:sz w:val="30"/>
          <w:szCs w:val="30"/>
        </w:rPr>
        <w:t xml:space="preserve">2.2 Bulk Download URLs</w:t>
      </w:r>
    </w:p>
    <w:p>
      <w:pPr>
        <w:spacing w:after="200" w:line="276"/>
      </w:pPr>
      <w:r>
        <w:rPr>
          <w:sz w:val="24"/>
          <w:szCs w:val="24"/>
        </w:rPr>
        <w:t xml:space="preserve">For initial load and full refreshes, DailyMed provides bulk download ZIPs: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ABB2B9" w:sz="1"/>
              <w:left w:val="single" w:color="ABB2B9" w:sz="1"/>
              <w:bottom w:val="single" w:color="ABB2B9" w:sz="1"/>
              <w:right w:val="single" w:color="ABB2B9" w:sz="1"/>
            </w:tcBorders>
            <w:shd w:fill="D5D8DC" w:val="clear"/>
            <w:tcMar>
              <w:top w:type="dxa" w:w="60"/>
              <w:left w:type="dxa" w:w="100"/>
              <w:bottom w:type="dxa" w:w="60"/>
              <w:right w:type="dxa" w:w="100"/>
            </w:tcMar>
          </w:tcPr>
          <w:p>
            <w:r>
              <w:rPr>
                <w:b/>
                <w:bCs/>
                <w:sz w:val="20"/>
                <w:szCs w:val="20"/>
              </w:rPr>
              <w:t xml:space="preserve">Download Type</w:t>
            </w:r>
          </w:p>
        </w:tc>
        <w:tc>
          <w:tcPr>
            <w:tcW w:type="dxa" w:w="4500"/>
            <w:tcBorders>
              <w:top w:val="single" w:color="ABB2B9" w:sz="1"/>
              <w:left w:val="single" w:color="ABB2B9" w:sz="1"/>
              <w:bottom w:val="single" w:color="ABB2B9" w:sz="1"/>
              <w:right w:val="single" w:color="ABB2B9" w:sz="1"/>
            </w:tcBorders>
            <w:shd w:fill="D5D8DC" w:val="clear"/>
            <w:tcMar>
              <w:top w:type="dxa" w:w="60"/>
              <w:left w:type="dxa" w:w="100"/>
              <w:bottom w:type="dxa" w:w="60"/>
              <w:right w:type="dxa" w:w="100"/>
            </w:tcMar>
          </w:tcPr>
          <w:p>
            <w:r>
              <w:rPr>
                <w:b/>
                <w:bCs/>
                <w:sz w:val="20"/>
                <w:szCs w:val="20"/>
              </w:rPr>
              <w:t xml:space="preserve">URL Pattern</w:t>
            </w:r>
          </w:p>
        </w:tc>
        <w:tc>
          <w:tcPr>
            <w:tcW w:type="dxa" w:w="2360"/>
            <w:tcBorders>
              <w:top w:val="single" w:color="ABB2B9" w:sz="1"/>
              <w:left w:val="single" w:color="ABB2B9" w:sz="1"/>
              <w:bottom w:val="single" w:color="ABB2B9" w:sz="1"/>
              <w:right w:val="single" w:color="ABB2B9" w:sz="1"/>
            </w:tcBorders>
            <w:shd w:fill="D5D8DC" w:val="clear"/>
            <w:tcMar>
              <w:top w:type="dxa" w:w="60"/>
              <w:left w:type="dxa" w:w="100"/>
              <w:bottom w:type="dxa" w:w="60"/>
              <w:right w:type="dxa" w:w="100"/>
            </w:tcMar>
          </w:tcPr>
          <w:p>
            <w:r>
              <w:rPr>
                <w:b/>
                <w:bCs/>
                <w:sz w:val="20"/>
                <w:szCs w:val="20"/>
              </w:rPr>
              <w:t xml:space="preserve">Size (approx)</w:t>
            </w:r>
          </w:p>
        </w:tc>
      </w:tr>
      <w:tr>
        <w:tc>
          <w:tcPr>
            <w:tcW w:type="dxa" w:w="25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Full Release (Human Rx)</w:t>
            </w:r>
          </w:p>
        </w:tc>
        <w:tc>
          <w:tcPr>
            <w:tcW w:type="dxa" w:w="45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6"/>
                <w:szCs w:val="16"/>
              </w:rPr>
              <w:t xml:space="preserve">ftp://public.nlm.nih.gov/nlmdata/.dailymed/dm_spl_release_human_rx_part{N}.zip</w:t>
            </w:r>
          </w:p>
        </w:tc>
        <w:tc>
          <w:tcPr>
            <w:tcW w:type="dxa" w:w="2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~15 GB total</w:t>
            </w:r>
          </w:p>
        </w:tc>
      </w:tr>
      <w:tr>
        <w:tc>
          <w:tcPr>
            <w:tcW w:type="dxa" w:w="25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Full Release (Human OTC)</w:t>
            </w:r>
          </w:p>
        </w:tc>
        <w:tc>
          <w:tcPr>
            <w:tcW w:type="dxa" w:w="45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6"/>
                <w:szCs w:val="16"/>
              </w:rPr>
              <w:t xml:space="preserve">ftp://public.nlm.nih.gov/nlmdata/.dailymed/dm_spl_release_human_otc.zip</w:t>
            </w:r>
          </w:p>
        </w:tc>
        <w:tc>
          <w:tcPr>
            <w:tcW w:type="dxa" w:w="2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~8 GB</w:t>
            </w:r>
          </w:p>
        </w:tc>
      </w:tr>
      <w:tr>
        <w:tc>
          <w:tcPr>
            <w:tcW w:type="dxa" w:w="25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Daily Update</w:t>
            </w:r>
          </w:p>
        </w:tc>
        <w:tc>
          <w:tcPr>
            <w:tcW w:type="dxa" w:w="45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6"/>
                <w:szCs w:val="16"/>
              </w:rPr>
              <w:t xml:space="preserve">ftp://public.nlm.nih.gov/nlmdata/.dailymed/dm_spl_daily_update_{YYYYMMDD}.zip</w:t>
            </w:r>
          </w:p>
        </w:tc>
        <w:tc>
          <w:tcPr>
            <w:tcW w:type="dxa" w:w="2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~50-200 MB</w:t>
            </w:r>
          </w:p>
        </w:tc>
      </w:tr>
      <w:tr>
        <w:tc>
          <w:tcPr>
            <w:tcW w:type="dxa" w:w="25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Weekly Update</w:t>
            </w:r>
          </w:p>
        </w:tc>
        <w:tc>
          <w:tcPr>
            <w:tcW w:type="dxa" w:w="45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6"/>
                <w:szCs w:val="16"/>
              </w:rPr>
              <w:t xml:space="preserve">ftp://public.nlm.nih.gov/nlmdata/.dailymed/dm_spl_weekly_{YYYYMMDD}.zip</w:t>
            </w:r>
          </w:p>
        </w:tc>
        <w:tc>
          <w:tcPr>
            <w:tcW w:type="dxa" w:w="2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~200-500 MB</w:t>
            </w:r>
          </w:p>
        </w:tc>
      </w:tr>
      <w:tr>
        <w:tc>
          <w:tcPr>
            <w:tcW w:type="dxa" w:w="25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Monthly Update</w:t>
            </w:r>
          </w:p>
        </w:tc>
        <w:tc>
          <w:tcPr>
            <w:tcW w:type="dxa" w:w="45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6"/>
                <w:szCs w:val="16"/>
              </w:rPr>
              <w:t xml:space="preserve">ftp://public.nlm.nih.gov/nlmdata/.dailymed/dm_spl_monthly_{YYYYMM}.zip</w:t>
            </w:r>
          </w:p>
        </w:tc>
        <w:tc>
          <w:tcPr>
            <w:tcW w:type="dxa" w:w="2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~500 MB - 1 GB</w:t>
            </w:r>
          </w:p>
        </w:tc>
      </w:tr>
    </w:tbl>
    <w:p>
      <w:pPr>
        <w:spacing w:before="300"/>
      </w:pPr>
    </w:p>
    <w:p>
      <w:pPr>
        <w:pStyle w:val="Heading2"/>
        <w:spacing w:before="300" w:after="150"/>
      </w:pPr>
      <w:r>
        <w:rPr>
          <w:b/>
          <w:bCs/>
          <w:sz w:val="30"/>
          <w:szCs w:val="30"/>
        </w:rPr>
        <w:t xml:space="preserve">2.3 Direct SPL Download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BB2B9" w:sz="1"/>
              <w:left w:val="single" w:color="ABB2B9" w:sz="1"/>
              <w:bottom w:val="single" w:color="ABB2B9" w:sz="1"/>
              <w:right w:val="single" w:color="ABB2B9" w:sz="1"/>
            </w:tcBorders>
            <w:shd w:fill="F8F9F9" w:val="clear"/>
            <w:tcMar>
              <w:top w:type="dxa" w:w="100"/>
              <w:left w:type="dxa" w:w="150"/>
              <w:bottom w:type="dxa" w:w="100"/>
              <w:right w:type="dxa" w:w="150"/>
            </w:tcMar>
          </w:tcPr>
          <w:p>
            <w:pPr>
              <w:spacing w:after="50"/>
            </w:pPr>
            <w:r>
              <w:rPr>
                <w:rFonts w:ascii="Courier New" w:cs="Courier New" w:eastAsia="Courier New" w:hAnsi="Courier New"/>
                <w:b/>
                <w:bCs/>
                <w:sz w:val="18"/>
                <w:szCs w:val="18"/>
              </w:rPr>
              <w:t xml:space="preserve">Direct Download URLs</w:t>
            </w:r>
          </w:p>
          <w:p>
            <w:r>
              <w:rPr>
                <w:rFonts w:ascii="Courier New" w:cs="Courier New" w:eastAsia="Courier New" w:hAnsi="Courier New"/>
                <w:sz w:val="16"/>
                <w:szCs w:val="16"/>
              </w:rPr>
              <w:t xml:space="preserve"># Download SPL as ZIP (contains XML + images)
https://dailymed.nlm.nih.gov/dailymed/downloadzipfile.cfm?setId={SETID}
# Download SPL as PDF (rendered label)
https://dailymed.nlm.nih.gov/dailymed/downloadpdffile.cfm?setId={SETID}
# Download specific version
https://dailymed.nlm.nih.gov/dailymed/getFile.cfm?type=zip&amp;setid={SETID}&amp;version={VERSION}
# Response Headers:
# Content-Disposition: attachment;filename={filename}.zip
# X-DAILYMED-LABEL-LAST-UPDATED: {timestamp}</w:t>
            </w:r>
          </w:p>
        </w:tc>
      </w:tr>
    </w:tbl>
    <w:p>
      <w:pPr>
        <w:spacing w:before="300"/>
      </w:pPr>
    </w:p>
    <w:p>
      <w:pPr>
        <w:pStyle w:val="Heading2"/>
        <w:spacing w:before="300" w:after="150"/>
      </w:pPr>
      <w:r>
        <w:rPr>
          <w:b/>
          <w:bCs/>
          <w:sz w:val="30"/>
          <w:szCs w:val="30"/>
        </w:rPr>
        <w:t xml:space="preserve">2.4 Rate Limits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BB2B9" w:sz="1"/>
              <w:left w:val="single" w:color="ABB2B9" w:sz="1"/>
              <w:bottom w:val="single" w:color="ABB2B9" w:sz="1"/>
              <w:right w:val="single" w:color="ABB2B9" w:sz="1"/>
            </w:tcBorders>
            <w:shd w:fill="E67E22" w:val="clear"/>
            <w:tcMar>
              <w:top w:type="dxa" w:w="60"/>
              <w:left w:type="dxa" w:w="100"/>
              <w:bottom w:type="dxa" w:w="60"/>
              <w:right w:type="dxa" w:w="100"/>
            </w:tcMar>
          </w:tcPr>
          <w:p>
            <w:r>
              <w:rPr>
                <w:b/>
                <w:bCs/>
                <w:color w:val="FFFFFF"/>
                <w:sz w:val="20"/>
                <w:szCs w:val="20"/>
              </w:rPr>
              <w:t xml:space="preserve">Consideration</w:t>
            </w:r>
          </w:p>
        </w:tc>
        <w:tc>
          <w:tcPr>
            <w:tcW w:type="dxa" w:w="6360"/>
            <w:tcBorders>
              <w:top w:val="single" w:color="ABB2B9" w:sz="1"/>
              <w:left w:val="single" w:color="ABB2B9" w:sz="1"/>
              <w:bottom w:val="single" w:color="ABB2B9" w:sz="1"/>
              <w:right w:val="single" w:color="ABB2B9" w:sz="1"/>
            </w:tcBorders>
            <w:shd w:fill="E67E22" w:val="clear"/>
            <w:tcMar>
              <w:top w:type="dxa" w:w="60"/>
              <w:left w:type="dxa" w:w="100"/>
              <w:bottom w:type="dxa" w:w="60"/>
              <w:right w:type="dxa" w:w="100"/>
            </w:tcMar>
          </w:tcPr>
          <w:p>
            <w:r>
              <w:rPr>
                <w:b/>
                <w:bCs/>
                <w:color w:val="FFFFFF"/>
                <w:sz w:val="20"/>
                <w:szCs w:val="20"/>
              </w:rPr>
              <w:t xml:space="preserve">Recommendation</w:t>
            </w:r>
          </w:p>
        </w:tc>
      </w:tr>
      <w:tr>
        <w:tc>
          <w:tcPr>
            <w:tcW w:type="dxa" w:w="3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20"/>
                <w:szCs w:val="20"/>
              </w:rPr>
              <w:t xml:space="preserve">Rate Limiting</w:t>
            </w:r>
          </w:p>
        </w:tc>
        <w:tc>
          <w:tcPr>
            <w:tcW w:type="dxa" w:w="6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No official limit, but recommend max 10 requests/second with exponential backoff</w:t>
            </w:r>
          </w:p>
        </w:tc>
      </w:tr>
      <w:tr>
        <w:tc>
          <w:tcPr>
            <w:tcW w:type="dxa" w:w="3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20"/>
                <w:szCs w:val="20"/>
              </w:rPr>
              <w:t xml:space="preserve">Pagination</w:t>
            </w:r>
          </w:p>
        </w:tc>
        <w:tc>
          <w:tcPr>
            <w:tcW w:type="dxa" w:w="6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Max 100 records per page; use page parameter for iteration</w:t>
            </w:r>
          </w:p>
        </w:tc>
      </w:tr>
      <w:tr>
        <w:tc>
          <w:tcPr>
            <w:tcW w:type="dxa" w:w="3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20"/>
                <w:szCs w:val="20"/>
              </w:rPr>
              <w:t xml:space="preserve">Caching</w:t>
            </w:r>
          </w:p>
        </w:tc>
        <w:tc>
          <w:tcPr>
            <w:tcW w:type="dxa" w:w="6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Cache SPL documents by SetID+Version; check X-DAILYMED-LABEL-LAST-UPDATED header</w:t>
            </w:r>
          </w:p>
        </w:tc>
      </w:tr>
      <w:tr>
        <w:tc>
          <w:tcPr>
            <w:tcW w:type="dxa" w:w="3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20"/>
                <w:szCs w:val="20"/>
              </w:rPr>
              <w:t xml:space="preserve">Initial Load</w:t>
            </w:r>
          </w:p>
        </w:tc>
        <w:tc>
          <w:tcPr>
            <w:tcW w:type="dxa" w:w="6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Use bulk FTP downloads for initial load; API for delta sync</w:t>
            </w:r>
          </w:p>
        </w:tc>
      </w:tr>
      <w:tr>
        <w:tc>
          <w:tcPr>
            <w:tcW w:type="dxa" w:w="3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20"/>
                <w:szCs w:val="20"/>
              </w:rPr>
              <w:t xml:space="preserve">Error Handling</w:t>
            </w:r>
          </w:p>
        </w:tc>
        <w:tc>
          <w:tcPr>
            <w:tcW w:type="dxa" w:w="6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Retry on 429/5xx with exponential backoff; log 404s for missing SetIDs</w:t>
            </w:r>
          </w:p>
        </w:tc>
      </w:tr>
    </w:tbl>
    <w:p>
      <w:r>
        <w:br w:type="page"/>
      </w:r>
    </w:p>
    <w:p>
      <w:pPr>
        <w:pStyle w:val="Heading1"/>
        <w:spacing w:before="400" w:after="200"/>
      </w:pPr>
      <w:r>
        <w:rPr>
          <w:b/>
          <w:bCs/>
          <w:sz w:val="36"/>
          <w:szCs w:val="36"/>
        </w:rPr>
        <w:t xml:space="preserve">3. SPL XML Structure (HL7 Standard)</w:t>
      </w:r>
    </w:p>
    <w:p>
      <w:pPr>
        <w:pStyle w:val="Heading2"/>
        <w:spacing w:before="300" w:after="150"/>
      </w:pPr>
      <w:r>
        <w:rPr>
          <w:b/>
          <w:bCs/>
          <w:sz w:val="30"/>
          <w:szCs w:val="30"/>
        </w:rPr>
        <w:t xml:space="preserve">3.1 Document Structure Overview</w:t>
      </w:r>
    </w:p>
    <w:p>
      <w:pPr>
        <w:spacing w:after="200" w:line="276"/>
      </w:pPr>
      <w:r>
        <w:rPr>
          <w:sz w:val="24"/>
          <w:szCs w:val="24"/>
        </w:rPr>
        <w:t xml:space="preserve">FDA SPL documents follow the HL7 Structured Product Labeling standard. The XML structure consists of a header (metadata) and a structuredBody (clinical content organized by LOINC-coded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BB2B9" w:sz="1"/>
              <w:left w:val="single" w:color="ABB2B9" w:sz="1"/>
              <w:bottom w:val="single" w:color="ABB2B9" w:sz="1"/>
              <w:right w:val="single" w:color="ABB2B9" w:sz="1"/>
            </w:tcBorders>
            <w:shd w:fill="F8F9F9" w:val="clear"/>
            <w:tcMar>
              <w:top w:type="dxa" w:w="100"/>
              <w:left w:type="dxa" w:w="150"/>
              <w:bottom w:type="dxa" w:w="100"/>
              <w:right w:type="dxa" w:w="150"/>
            </w:tcMar>
          </w:tcPr>
          <w:p>
            <w:pPr>
              <w:spacing w:after="50"/>
            </w:pPr>
            <w:r>
              <w:rPr>
                <w:rFonts w:ascii="Courier New" w:cs="Courier New" w:eastAsia="Courier New" w:hAnsi="Courier New"/>
                <w:b/>
                <w:bCs/>
                <w:sz w:val="18"/>
                <w:szCs w:val="18"/>
              </w:rPr>
              <w:t xml:space="preserve">SPL XML Document Structure</w:t>
            </w:r>
          </w:p>
          <w:p>
            <w:r>
              <w:rPr>
                <w:rFonts w:ascii="Courier New" w:cs="Courier New" w:eastAsia="Courier New" w:hAnsi="Courier New"/>
                <w:sz w:val="16"/>
                <w:szCs w:val="16"/>
              </w:rPr>
              <w:t xml:space="preserve">&lt;?xml version="1.0" encoding="UTF-8"?&gt;
&lt;document xmlns="urn:hl7-org:v3" xmlns:xsi="http://www.w3.org/2001/XMLSchema-instance"&gt;
  &lt;!-- HEADER: Document Metadata --&gt;
  &lt;id root="..." extension="{DOCUMENT_ID}"/&gt;           &lt;!-- Unique document ID --&gt;
  &lt;code code="{LOINC}" codeSystem="2.16.840.1.113883.6.1"/&gt;  &lt;!-- Document type --&gt;
  &lt;title&gt;{DRUG NAME} - {MANUFACTURER}&lt;/title&gt;
  &lt;effectiveTime value="{YYYYMMDD}"/&gt;                  &lt;!-- Version date --&gt;
  &lt;setId root="{SET_ID}"/&gt;                             &lt;!-- Persistent ID across versions --&gt;
  &lt;versionNumber value="{VERSION}"/&gt;                   &lt;!-- Version number (1, 2, 3...) --&gt;
  &lt;!-- BODY: Clinical Content --&gt;
  &lt;component&gt;
    &lt;structuredBody&gt;
      &lt;!-- Each section has LOINC code --&gt;
      &lt;component&gt;
        &lt;section&gt;
          &lt;id root="..."/&gt;
          &lt;code code="34066-1" codeSystem="2.16.840.1.113883.6.1"/&gt;  &lt;!-- BOXED WARNING --&gt;
          &lt;title&gt;BOXED WARNING&lt;/title&gt;
          &lt;text&gt;
            &lt;!-- Narrative content: paragraphs, tables, lists --&gt;
            &lt;paragraph&gt;...&lt;/paragraph&gt;
            &lt;table&gt;...&lt;/table&gt;
          &lt;/text&gt;
        &lt;/section&gt;
      &lt;/component&gt;
      &lt;component&gt;
        &lt;section&gt;
          &lt;code code="34068-7" codeSystem="2.16.840.1.113883.6.1"/&gt;  &lt;!-- DOSAGE &amp; ADMIN --&gt;
          &lt;title&gt;2 DOSAGE AND ADMINISTRATION&lt;/title&gt;
          &lt;text&gt;...&lt;/text&gt;
          &lt;!-- Nested subsections --&gt;
          &lt;component&gt;
            &lt;section&gt;
              &lt;code code="34068-7"/&gt;  &lt;!-- Same LOINC, subsection --&gt;
              &lt;title&gt;2.1 Recommended Dosage&lt;/title&gt;
              &lt;text&gt;...&lt;/text&gt;
            &lt;/section&gt;
          &lt;/component&gt;
        &lt;/section&gt;
      &lt;/component&gt;
      &lt;!-- ... more sections ... --&gt;
    &lt;/structuredBody&gt;
  &lt;/component&gt;
&lt;/document&gt;</w:t>
            </w:r>
          </w:p>
        </w:tc>
      </w:tr>
    </w:tbl>
    <w:p>
      <w:pPr>
        <w:spacing w:before="300"/>
      </w:pPr>
    </w:p>
    <w:p>
      <w:pPr>
        <w:pStyle w:val="Heading2"/>
        <w:spacing w:before="300" w:after="150"/>
      </w:pPr>
      <w:r>
        <w:rPr>
          <w:b/>
          <w:bCs/>
          <w:sz w:val="30"/>
          <w:szCs w:val="30"/>
        </w:rPr>
        <w:t xml:space="preserve">3.2 Critical LOINC Section Codes</w:t>
      </w:r>
    </w:p>
    <w:p>
      <w:pPr>
        <w:spacing w:after="200" w:line="276"/>
      </w:pPr>
      <w:r>
        <w:rPr>
          <w:sz w:val="24"/>
          <w:szCs w:val="24"/>
        </w:rPr>
        <w:t xml:space="preserve">These LOINC codes identify the major sections of FDA drug labeling. Our fetcher must extract and route these sections to the appropriate KBs.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000"/>
        <w:gridCol w:w="1300"/>
        <w:gridCol w:w="1860"/>
      </w:tblGrid>
      <w:tr>
        <w:tc>
          <w:tcPr>
            <w:tcW w:type="dxa" w:w="1200"/>
            <w:tcBorders>
              <w:top w:val="single" w:color="ABB2B9" w:sz="1"/>
              <w:left w:val="single" w:color="ABB2B9" w:sz="1"/>
              <w:bottom w:val="single" w:color="ABB2B9" w:sz="1"/>
              <w:right w:val="single" w:color="ABB2B9" w:sz="1"/>
            </w:tcBorders>
            <w:shd w:fill="7D3C98" w:val="clear"/>
            <w:tcMar>
              <w:top w:type="dxa" w:w="60"/>
              <w:left w:type="dxa" w:w="100"/>
              <w:bottom w:type="dxa" w:w="60"/>
              <w:right w:type="dxa" w:w="100"/>
            </w:tcMar>
          </w:tcPr>
          <w:p>
            <w:r>
              <w:rPr>
                <w:b/>
                <w:bCs/>
                <w:color w:val="FFFFFF"/>
                <w:sz w:val="18"/>
                <w:szCs w:val="18"/>
              </w:rPr>
              <w:t xml:space="preserve">LOINC</w:t>
            </w:r>
          </w:p>
        </w:tc>
        <w:tc>
          <w:tcPr>
            <w:tcW w:type="dxa" w:w="3000"/>
            <w:tcBorders>
              <w:top w:val="single" w:color="ABB2B9" w:sz="1"/>
              <w:left w:val="single" w:color="ABB2B9" w:sz="1"/>
              <w:bottom w:val="single" w:color="ABB2B9" w:sz="1"/>
              <w:right w:val="single" w:color="ABB2B9" w:sz="1"/>
            </w:tcBorders>
            <w:shd w:fill="7D3C98" w:val="clear"/>
            <w:tcMar>
              <w:top w:type="dxa" w:w="60"/>
              <w:left w:type="dxa" w:w="100"/>
              <w:bottom w:type="dxa" w:w="60"/>
              <w:right w:type="dxa" w:w="100"/>
            </w:tcMar>
          </w:tcPr>
          <w:p>
            <w:r>
              <w:rPr>
                <w:b/>
                <w:bCs/>
                <w:color w:val="FFFFFF"/>
                <w:sz w:val="18"/>
                <w:szCs w:val="18"/>
              </w:rPr>
              <w:t xml:space="preserve">Section Name</w:t>
            </w:r>
          </w:p>
        </w:tc>
        <w:tc>
          <w:tcPr>
            <w:tcW w:type="dxa" w:w="2000"/>
            <w:tcBorders>
              <w:top w:val="single" w:color="ABB2B9" w:sz="1"/>
              <w:left w:val="single" w:color="ABB2B9" w:sz="1"/>
              <w:bottom w:val="single" w:color="ABB2B9" w:sz="1"/>
              <w:right w:val="single" w:color="ABB2B9" w:sz="1"/>
            </w:tcBorders>
            <w:shd w:fill="7D3C98" w:val="clear"/>
            <w:tcMar>
              <w:top w:type="dxa" w:w="60"/>
              <w:left w:type="dxa" w:w="100"/>
              <w:bottom w:type="dxa" w:w="60"/>
              <w:right w:type="dxa" w:w="100"/>
            </w:tcMar>
          </w:tcPr>
          <w:p>
            <w:r>
              <w:rPr>
                <w:b/>
                <w:bCs/>
                <w:color w:val="FFFFFF"/>
                <w:sz w:val="18"/>
                <w:szCs w:val="18"/>
              </w:rPr>
              <w:t xml:space="preserve">Target KBs</w:t>
            </w:r>
          </w:p>
        </w:tc>
        <w:tc>
          <w:tcPr>
            <w:tcW w:type="dxa" w:w="1300"/>
            <w:tcBorders>
              <w:top w:val="single" w:color="ABB2B9" w:sz="1"/>
              <w:left w:val="single" w:color="ABB2B9" w:sz="1"/>
              <w:bottom w:val="single" w:color="ABB2B9" w:sz="1"/>
              <w:right w:val="single" w:color="ABB2B9" w:sz="1"/>
            </w:tcBorders>
            <w:shd w:fill="7D3C98" w:val="clear"/>
            <w:tcMar>
              <w:top w:type="dxa" w:w="60"/>
              <w:left w:type="dxa" w:w="100"/>
              <w:bottom w:type="dxa" w:w="60"/>
              <w:right w:type="dxa" w:w="100"/>
            </w:tcMar>
          </w:tcPr>
          <w:p>
            <w:r>
              <w:rPr>
                <w:b/>
                <w:bCs/>
                <w:color w:val="FFFFFF"/>
                <w:sz w:val="18"/>
                <w:szCs w:val="18"/>
              </w:rPr>
              <w:t xml:space="preserve">Priority</w:t>
            </w:r>
          </w:p>
        </w:tc>
        <w:tc>
          <w:tcPr>
            <w:tcW w:type="dxa" w:w="1860"/>
            <w:tcBorders>
              <w:top w:val="single" w:color="ABB2B9" w:sz="1"/>
              <w:left w:val="single" w:color="ABB2B9" w:sz="1"/>
              <w:bottom w:val="single" w:color="ABB2B9" w:sz="1"/>
              <w:right w:val="single" w:color="ABB2B9" w:sz="1"/>
            </w:tcBorders>
            <w:shd w:fill="7D3C98" w:val="clear"/>
            <w:tcMar>
              <w:top w:type="dxa" w:w="60"/>
              <w:left w:type="dxa" w:w="100"/>
              <w:bottom w:type="dxa" w:w="60"/>
              <w:right w:type="dxa" w:w="100"/>
            </w:tcMar>
          </w:tcPr>
          <w:p>
            <w:r>
              <w:rPr>
                <w:b/>
                <w:bCs/>
                <w:color w:val="FFFFFF"/>
                <w:sz w:val="18"/>
                <w:szCs w:val="18"/>
              </w:rPr>
              <w:t xml:space="preserve">Content Type</w:t>
            </w:r>
          </w:p>
        </w:tc>
      </w:tr>
      <w:tr>
        <w:tc>
          <w:tcPr>
            <w:tcW w:type="dxa" w:w="12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18"/>
                <w:szCs w:val="18"/>
              </w:rPr>
              <w:t xml:space="preserve">34066-1</w:t>
            </w:r>
          </w:p>
        </w:tc>
        <w:tc>
          <w:tcPr>
            <w:tcW w:type="dxa" w:w="3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BOXED WARNING</w:t>
            </w:r>
          </w:p>
        </w:tc>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KB-4</w:t>
            </w:r>
          </w:p>
        </w:tc>
        <w:tc>
          <w:tcPr>
            <w:tcW w:type="dxa" w:w="13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color w:val="C0392B"/>
                <w:sz w:val="18"/>
                <w:szCs w:val="18"/>
              </w:rPr>
              <w:t xml:space="preserve">P0 Critical</w:t>
            </w:r>
          </w:p>
        </w:tc>
        <w:tc>
          <w:tcPr>
            <w:tcW w:type="dxa" w:w="18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Narrative</w:t>
            </w:r>
          </w:p>
        </w:tc>
      </w:tr>
      <w:tr>
        <w:tc>
          <w:tcPr>
            <w:tcW w:type="dxa" w:w="12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18"/>
                <w:szCs w:val="18"/>
              </w:rPr>
              <w:t xml:space="preserve">34068-7</w:t>
            </w:r>
          </w:p>
        </w:tc>
        <w:tc>
          <w:tcPr>
            <w:tcW w:type="dxa" w:w="3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DOSAGE AND ADMINISTRATION</w:t>
            </w:r>
          </w:p>
        </w:tc>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KB-1, KB-4</w:t>
            </w:r>
          </w:p>
        </w:tc>
        <w:tc>
          <w:tcPr>
            <w:tcW w:type="dxa" w:w="13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color w:val="C0392B"/>
                <w:sz w:val="18"/>
                <w:szCs w:val="18"/>
              </w:rPr>
              <w:t xml:space="preserve">P0 Critical</w:t>
            </w:r>
          </w:p>
        </w:tc>
        <w:tc>
          <w:tcPr>
            <w:tcW w:type="dxa" w:w="18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Tables + Narrative</w:t>
            </w:r>
          </w:p>
        </w:tc>
      </w:tr>
      <w:tr>
        <w:tc>
          <w:tcPr>
            <w:tcW w:type="dxa" w:w="12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18"/>
                <w:szCs w:val="18"/>
              </w:rPr>
              <w:t xml:space="preserve">34070-3</w:t>
            </w:r>
          </w:p>
        </w:tc>
        <w:tc>
          <w:tcPr>
            <w:tcW w:type="dxa" w:w="3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CONTRAINDICATIONS</w:t>
            </w:r>
          </w:p>
        </w:tc>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KB-4</w:t>
            </w:r>
          </w:p>
        </w:tc>
        <w:tc>
          <w:tcPr>
            <w:tcW w:type="dxa" w:w="13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color w:val="C0392B"/>
                <w:sz w:val="18"/>
                <w:szCs w:val="18"/>
              </w:rPr>
              <w:t xml:space="preserve">P0 Critical</w:t>
            </w:r>
          </w:p>
        </w:tc>
        <w:tc>
          <w:tcPr>
            <w:tcW w:type="dxa" w:w="18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Narrative</w:t>
            </w:r>
          </w:p>
        </w:tc>
      </w:tr>
      <w:tr>
        <w:tc>
          <w:tcPr>
            <w:tcW w:type="dxa" w:w="12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18"/>
                <w:szCs w:val="18"/>
              </w:rPr>
              <w:t xml:space="preserve">43685-7</w:t>
            </w:r>
          </w:p>
        </w:tc>
        <w:tc>
          <w:tcPr>
            <w:tcW w:type="dxa" w:w="3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WARNINGS AND PRECAUTIONS</w:t>
            </w:r>
          </w:p>
        </w:tc>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KB-4, KB-16</w:t>
            </w:r>
          </w:p>
        </w:tc>
        <w:tc>
          <w:tcPr>
            <w:tcW w:type="dxa" w:w="13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color w:val="C0392B"/>
                <w:sz w:val="18"/>
                <w:szCs w:val="18"/>
              </w:rPr>
              <w:t xml:space="preserve">P0 Critical</w:t>
            </w:r>
          </w:p>
        </w:tc>
        <w:tc>
          <w:tcPr>
            <w:tcW w:type="dxa" w:w="18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Narrative + Labs</w:t>
            </w:r>
          </w:p>
        </w:tc>
      </w:tr>
      <w:tr>
        <w:tc>
          <w:tcPr>
            <w:tcW w:type="dxa" w:w="12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18"/>
                <w:szCs w:val="18"/>
              </w:rPr>
              <w:t xml:space="preserve">34073-7</w:t>
            </w:r>
          </w:p>
        </w:tc>
        <w:tc>
          <w:tcPr>
            <w:tcW w:type="dxa" w:w="3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DRUG INTERACTIONS</w:t>
            </w:r>
          </w:p>
        </w:tc>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KB-5</w:t>
            </w:r>
          </w:p>
        </w:tc>
        <w:tc>
          <w:tcPr>
            <w:tcW w:type="dxa" w:w="13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color w:val="E67E22"/>
                <w:sz w:val="18"/>
                <w:szCs w:val="18"/>
              </w:rPr>
              <w:t xml:space="preserve">P1 High</w:t>
            </w:r>
          </w:p>
        </w:tc>
        <w:tc>
          <w:tcPr>
            <w:tcW w:type="dxa" w:w="18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Tables + Narrative</w:t>
            </w:r>
          </w:p>
        </w:tc>
      </w:tr>
      <w:tr>
        <w:tc>
          <w:tcPr>
            <w:tcW w:type="dxa" w:w="12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18"/>
                <w:szCs w:val="18"/>
              </w:rPr>
              <w:t xml:space="preserve">34084-4</w:t>
            </w:r>
          </w:p>
        </w:tc>
        <w:tc>
          <w:tcPr>
            <w:tcW w:type="dxa" w:w="3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ADVERSE REACTIONS</w:t>
            </w:r>
          </w:p>
        </w:tc>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KB-4</w:t>
            </w:r>
          </w:p>
        </w:tc>
        <w:tc>
          <w:tcPr>
            <w:tcW w:type="dxa" w:w="13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color w:val="E67E22"/>
                <w:sz w:val="18"/>
                <w:szCs w:val="18"/>
              </w:rPr>
              <w:t xml:space="preserve">P1 High</w:t>
            </w:r>
          </w:p>
        </w:tc>
        <w:tc>
          <w:tcPr>
            <w:tcW w:type="dxa" w:w="18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Tables + Narrative</w:t>
            </w:r>
          </w:p>
        </w:tc>
      </w:tr>
      <w:tr>
        <w:tc>
          <w:tcPr>
            <w:tcW w:type="dxa" w:w="12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18"/>
                <w:szCs w:val="18"/>
              </w:rPr>
              <w:t xml:space="preserve">34090-1</w:t>
            </w:r>
          </w:p>
        </w:tc>
        <w:tc>
          <w:tcPr>
            <w:tcW w:type="dxa" w:w="3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CLINICAL PHARMACOLOGY</w:t>
            </w:r>
          </w:p>
        </w:tc>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KB-1</w:t>
            </w:r>
          </w:p>
        </w:tc>
        <w:tc>
          <w:tcPr>
            <w:tcW w:type="dxa" w:w="13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color w:val="27AE60"/>
                <w:sz w:val="18"/>
                <w:szCs w:val="18"/>
              </w:rPr>
              <w:t xml:space="preserve">P2 Medium</w:t>
            </w:r>
          </w:p>
        </w:tc>
        <w:tc>
          <w:tcPr>
            <w:tcW w:type="dxa" w:w="18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PK Tables</w:t>
            </w:r>
          </w:p>
        </w:tc>
      </w:tr>
      <w:tr>
        <w:tc>
          <w:tcPr>
            <w:tcW w:type="dxa" w:w="12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18"/>
                <w:szCs w:val="18"/>
              </w:rPr>
              <w:t xml:space="preserve">34077-8</w:t>
            </w:r>
          </w:p>
        </w:tc>
        <w:tc>
          <w:tcPr>
            <w:tcW w:type="dxa" w:w="3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PREGNANCY</w:t>
            </w:r>
          </w:p>
        </w:tc>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KB-4</w:t>
            </w:r>
          </w:p>
        </w:tc>
        <w:tc>
          <w:tcPr>
            <w:tcW w:type="dxa" w:w="13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color w:val="E67E22"/>
                <w:sz w:val="18"/>
                <w:szCs w:val="18"/>
              </w:rPr>
              <w:t xml:space="preserve">P1 High</w:t>
            </w:r>
          </w:p>
        </w:tc>
        <w:tc>
          <w:tcPr>
            <w:tcW w:type="dxa" w:w="18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Category + Narrative</w:t>
            </w:r>
          </w:p>
        </w:tc>
      </w:tr>
      <w:tr>
        <w:tc>
          <w:tcPr>
            <w:tcW w:type="dxa" w:w="12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18"/>
                <w:szCs w:val="18"/>
              </w:rPr>
              <w:t xml:space="preserve">34080-2</w:t>
            </w:r>
          </w:p>
        </w:tc>
        <w:tc>
          <w:tcPr>
            <w:tcW w:type="dxa" w:w="3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NURSING MOTHERS</w:t>
            </w:r>
          </w:p>
        </w:tc>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KB-4</w:t>
            </w:r>
          </w:p>
        </w:tc>
        <w:tc>
          <w:tcPr>
            <w:tcW w:type="dxa" w:w="13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color w:val="E67E22"/>
                <w:sz w:val="18"/>
                <w:szCs w:val="18"/>
              </w:rPr>
              <w:t xml:space="preserve">P1 High</w:t>
            </w:r>
          </w:p>
        </w:tc>
        <w:tc>
          <w:tcPr>
            <w:tcW w:type="dxa" w:w="18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 Route to LactMed</w:t>
            </w:r>
          </w:p>
        </w:tc>
      </w:tr>
      <w:tr>
        <w:tc>
          <w:tcPr>
            <w:tcW w:type="dxa" w:w="12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18"/>
                <w:szCs w:val="18"/>
              </w:rPr>
              <w:t xml:space="preserve">34081-0</w:t>
            </w:r>
          </w:p>
        </w:tc>
        <w:tc>
          <w:tcPr>
            <w:tcW w:type="dxa" w:w="3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PEDIATRIC USE</w:t>
            </w:r>
          </w:p>
        </w:tc>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KB-1, KB-4</w:t>
            </w:r>
          </w:p>
        </w:tc>
        <w:tc>
          <w:tcPr>
            <w:tcW w:type="dxa" w:w="13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color w:val="E67E22"/>
                <w:sz w:val="18"/>
                <w:szCs w:val="18"/>
              </w:rPr>
              <w:t xml:space="preserve">P1 High</w:t>
            </w:r>
          </w:p>
        </w:tc>
        <w:tc>
          <w:tcPr>
            <w:tcW w:type="dxa" w:w="18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Age ranges</w:t>
            </w:r>
          </w:p>
        </w:tc>
      </w:tr>
      <w:tr>
        <w:tc>
          <w:tcPr>
            <w:tcW w:type="dxa" w:w="12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18"/>
                <w:szCs w:val="18"/>
              </w:rPr>
              <w:t xml:space="preserve">34082-8</w:t>
            </w:r>
          </w:p>
        </w:tc>
        <w:tc>
          <w:tcPr>
            <w:tcW w:type="dxa" w:w="3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GERIATRIC USE</w:t>
            </w:r>
          </w:p>
        </w:tc>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KB-4</w:t>
            </w:r>
          </w:p>
        </w:tc>
        <w:tc>
          <w:tcPr>
            <w:tcW w:type="dxa" w:w="13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color w:val="E67E22"/>
                <w:sz w:val="18"/>
                <w:szCs w:val="18"/>
              </w:rPr>
              <w:t xml:space="preserve">P1 High</w:t>
            </w:r>
          </w:p>
        </w:tc>
        <w:tc>
          <w:tcPr>
            <w:tcW w:type="dxa" w:w="18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8"/>
                <w:szCs w:val="18"/>
              </w:rPr>
              <w:t xml:space="preserve">→ Route to Beers</w:t>
            </w:r>
          </w:p>
        </w:tc>
      </w:tr>
    </w:tbl>
    <w:p>
      <w:pPr>
        <w:spacing w:before="300"/>
      </w:pPr>
    </w:p>
    <w:p>
      <w:pPr>
        <w:pStyle w:val="Heading2"/>
        <w:spacing w:before="300" w:after="150"/>
      </w:pPr>
      <w:r>
        <w:rPr>
          <w:b/>
          <w:bCs/>
          <w:sz w:val="30"/>
          <w:szCs w:val="30"/>
        </w:rPr>
        <w:t xml:space="preserve">3.3 Narrative Block Structure</w:t>
      </w:r>
    </w:p>
    <w:p>
      <w:pPr>
        <w:spacing w:after="200" w:line="276"/>
      </w:pPr>
      <w:r>
        <w:rPr>
          <w:sz w:val="24"/>
          <w:szCs w:val="24"/>
        </w:rPr>
        <w:t xml:space="preserve">The &lt;text&gt; element within each section contains the human-readable content. This uses an HTML-like DTD defined by HL7: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BB2B9" w:sz="1"/>
              <w:left w:val="single" w:color="ABB2B9" w:sz="1"/>
              <w:bottom w:val="single" w:color="ABB2B9" w:sz="1"/>
              <w:right w:val="single" w:color="ABB2B9" w:sz="1"/>
            </w:tcBorders>
            <w:shd w:fill="F8F9F9" w:val="clear"/>
            <w:tcMar>
              <w:top w:type="dxa" w:w="100"/>
              <w:left w:type="dxa" w:w="150"/>
              <w:bottom w:type="dxa" w:w="100"/>
              <w:right w:type="dxa" w:w="150"/>
            </w:tcMar>
          </w:tcPr>
          <w:p>
            <w:pPr>
              <w:spacing w:after="50"/>
            </w:pPr>
            <w:r>
              <w:rPr>
                <w:rFonts w:ascii="Courier New" w:cs="Courier New" w:eastAsia="Courier New" w:hAnsi="Courier New"/>
                <w:b/>
                <w:bCs/>
                <w:sz w:val="18"/>
                <w:szCs w:val="18"/>
              </w:rPr>
              <w:t xml:space="preserve">SPL Narrative Block Elements</w:t>
            </w:r>
          </w:p>
          <w:p>
            <w:r>
              <w:rPr>
                <w:rFonts w:ascii="Courier New" w:cs="Courier New" w:eastAsia="Courier New" w:hAnsi="Courier New"/>
                <w:sz w:val="16"/>
                <w:szCs w:val="16"/>
              </w:rPr>
              <w:t xml:space="preserve">&lt;text&gt;
  &lt;!-- Paragraphs --&gt;
  &lt;paragraph&gt;
    For patients with &lt;content styleCode="bold"&gt;renal impairment&lt;/content&gt;
    (CrCl &amp;lt; 30 mL/min), reduce initial dose to 2.5 mg once daily.
  &lt;/paragraph&gt;
  &lt;!-- Tables (critical for dosing extraction) --&gt;
  &lt;table width="100%"&gt;
    &lt;thead&gt;
      &lt;tr&gt;
        &lt;th&gt;Creatinine Clearance (mL/min)&lt;/th&gt;
        &lt;th&gt;Recommended Dose&lt;/th&gt;
      &lt;/tr&gt;
    &lt;/thead&gt;
    &lt;tbody&gt;
      &lt;tr&gt;
        &lt;td&gt;&amp;gt;50&lt;/td&gt;
        &lt;td&gt;10 mg once daily&lt;/td&gt;
      &lt;/tr&gt;
      &lt;tr&gt;
        &lt;td&gt;30-50&lt;/td&gt;
        &lt;td&gt;5 mg once daily&lt;/td&gt;
      &lt;/tr&gt;
      &lt;tr&gt;
        &lt;td&gt;&amp;lt;30&lt;/td&gt;
        &lt;td&gt;2.5 mg once daily&lt;/td&gt;
      &lt;/tr&gt;
    &lt;/tbody&gt;
  &lt;/table&gt;
  &lt;!-- Lists --&gt;
  &lt;list listType="unordered"&gt;
    &lt;item&gt;Contraindicated in patients with hypersensitivity&lt;/item&gt;
    &lt;item&gt;Avoid use with potassium-sparing diuretics&lt;/item&gt;
  &lt;/list&gt;
  &lt;!-- Styled content --&gt;
  &lt;content styleCode="bold"&gt;BLACK BOX WARNING:&lt;/content&gt;
  &lt;content styleCode="italics"&gt;See full prescribing information&lt;/content&gt;
  &lt;!-- References --&gt;
  &lt;linkHtml href="#section-2.1"&gt;See Section 2.1&lt;/linkHtml&gt;
&lt;/text&gt;</w:t>
            </w:r>
          </w:p>
        </w:tc>
      </w:tr>
    </w:tbl>
    <w:p>
      <w:r>
        <w:br w:type="page"/>
      </w:r>
    </w:p>
    <w:p>
      <w:pPr>
        <w:pStyle w:val="Heading1"/>
        <w:spacing w:before="400" w:after="200"/>
      </w:pPr>
      <w:r>
        <w:rPr>
          <w:b/>
          <w:bCs/>
          <w:sz w:val="36"/>
          <w:szCs w:val="36"/>
        </w:rPr>
        <w:t xml:space="preserve">4. Data Model</w:t>
      </w:r>
    </w:p>
    <w:p>
      <w:pPr>
        <w:pStyle w:val="Heading2"/>
        <w:spacing w:before="300" w:after="150"/>
      </w:pPr>
      <w:r>
        <w:rPr>
          <w:b/>
          <w:bCs/>
          <w:sz w:val="30"/>
          <w:szCs w:val="30"/>
        </w:rPr>
        <w:t xml:space="preserve">4.1 Database Schema</w:t>
      </w:r>
    </w:p>
    <w:p>
      <w:pPr>
        <w:spacing w:after="200" w:line="276"/>
      </w:pPr>
      <w:r>
        <w:rPr>
          <w:sz w:val="24"/>
          <w:szCs w:val="24"/>
        </w:rPr>
        <w:t xml:space="preserve">The fetcher stores data in two primary tables: source_documents (the raw SPL) and source_sections (parsed LOINC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BB2B9" w:sz="1"/>
              <w:left w:val="single" w:color="ABB2B9" w:sz="1"/>
              <w:bottom w:val="single" w:color="ABB2B9" w:sz="1"/>
              <w:right w:val="single" w:color="ABB2B9" w:sz="1"/>
            </w:tcBorders>
            <w:shd w:fill="F8F9F9" w:val="clear"/>
            <w:tcMar>
              <w:top w:type="dxa" w:w="100"/>
              <w:left w:type="dxa" w:w="150"/>
              <w:bottom w:type="dxa" w:w="100"/>
              <w:right w:type="dxa" w:w="150"/>
            </w:tcMar>
          </w:tcPr>
          <w:p>
            <w:pPr>
              <w:spacing w:after="50"/>
            </w:pPr>
            <w:r>
              <w:rPr>
                <w:rFonts w:ascii="Courier New" w:cs="Courier New" w:eastAsia="Courier New" w:hAnsi="Courier New"/>
                <w:b/>
                <w:bCs/>
                <w:sz w:val="18"/>
                <w:szCs w:val="18"/>
              </w:rPr>
              <w:t xml:space="preserve">source_documents Table</w:t>
            </w:r>
          </w:p>
          <w:p>
            <w:r>
              <w:rPr>
                <w:rFonts w:ascii="Courier New" w:cs="Courier New" w:eastAsia="Courier New" w:hAnsi="Courier New"/>
                <w:sz w:val="16"/>
                <w:szCs w:val="16"/>
              </w:rPr>
              <w:t xml:space="preserve">-- Primary table: Stores raw SPL documents
CREATE TABLE source_documents (
    id UUID PRIMARY KEY DEFAULT gen_random_uuid(),
    -- Source identification
    source_type VARCHAR(50) NOT NULL DEFAULT 'FDA_SPL',
    source_authority VARCHAR(50) NOT NULL DEFAULT 'FDA',
    source_jurisdiction VARCHAR(10) NOT NULL DEFAULT 'US',
    -- SPL-specific identifiers
    set_id VARCHAR(100) NOT NULL,          -- Persistent across versions
    spl_version INTEGER NOT NULL,           -- Version number (1, 2, 3...)
    document_id VARCHAR(100),               -- Unique per-version ID
    -- Document metadata
    title VARCHAR(1000),
    effective_date DATE,
    published_date DATE,
    -- Drug identifiers (for quick lookup)
    drug_name VARCHAR(500),
    rxcui VARCHAR(20),                      -- Primary RxCUI if available
    ndc_codes TEXT[],                       -- Array of associated NDCs
    -- Content storage
    raw_xml_path TEXT NOT NULL,             -- S3 or filesystem path
    raw_xml_hash VARCHAR(64) NOT NULL,      -- SHA256 of raw XML
    raw_xml_size BIGINT,
    -- Parsed content cache
    parsed_header JSONB,                    -- Cached header parsing
    parsed_at TIMESTAMPTZ,
    parser_version VARCHAR(20),
    -- Sync tracking
    dailymed_last_updated TIMESTAMPTZ,      -- From X-DAILYMED-LABEL-LAST-UPDATED
    fetched_at TIMESTAMPTZ DEFAULT NOW(),
    fetch_source VARCHAR(50),               -- 'API', 'BULK_FTP', 'DELTA'
    -- Status
    status VARCHAR(20) DEFAULT 'FETCHED',   -- FETCHED, PARSED, ERROR
    error_message TEXT,
    UNIQUE(set_id, spl_version)
);
CREATE INDEX idx_source_docs_set_id ON source_documents(set_id);
CREATE INDEX idx_source_docs_rxcui ON source_documents(rxcui);
CREATE INDEX idx_source_docs_status ON source_documents(status);
CREATE INDEX idx_source_docs_published ON source_documents(published_date DESC);</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BB2B9" w:sz="1"/>
              <w:left w:val="single" w:color="ABB2B9" w:sz="1"/>
              <w:bottom w:val="single" w:color="ABB2B9" w:sz="1"/>
              <w:right w:val="single" w:color="ABB2B9" w:sz="1"/>
            </w:tcBorders>
            <w:shd w:fill="F8F9F9" w:val="clear"/>
            <w:tcMar>
              <w:top w:type="dxa" w:w="100"/>
              <w:left w:type="dxa" w:w="150"/>
              <w:bottom w:type="dxa" w:w="100"/>
              <w:right w:type="dxa" w:w="150"/>
            </w:tcMar>
          </w:tcPr>
          <w:p>
            <w:pPr>
              <w:spacing w:after="50"/>
            </w:pPr>
            <w:r>
              <w:rPr>
                <w:rFonts w:ascii="Courier New" w:cs="Courier New" w:eastAsia="Courier New" w:hAnsi="Courier New"/>
                <w:b/>
                <w:bCs/>
                <w:sz w:val="18"/>
                <w:szCs w:val="18"/>
              </w:rPr>
              <w:t xml:space="preserve">source_sections Table</w:t>
            </w:r>
          </w:p>
          <w:p>
            <w:r>
              <w:rPr>
                <w:rFonts w:ascii="Courier New" w:cs="Courier New" w:eastAsia="Courier New" w:hAnsi="Courier New"/>
                <w:sz w:val="16"/>
                <w:szCs w:val="16"/>
              </w:rPr>
              <w:t xml:space="preserve">-- Secondary table: Parsed LOINC sections for KB routing
CREATE TABLE source_sections (
    id UUID PRIMARY KEY DEFAULT gen_random_uuid(),
    source_document_id UUID NOT NULL REFERENCES source_documents(id) ON DELETE CASCADE,
    -- Section identification
    section_id VARCHAR(100),                -- HL7 section ID from XML
    loinc_code VARCHAR(20) NOT NULL,        -- e.g., '34068-7'
    loinc_display VARCHAR(200),             -- e.g., 'DOSAGE AND ADMINISTRATION'
    section_title VARCHAR(500),             -- From &lt;title&gt; element
    section_sequence INTEGER,               -- Order in document
    -- Parent section (for nested sections)
    parent_section_id UUID REFERENCES source_sections(id),
    nesting_level INTEGER DEFAULT 0,
    -- Content
    raw_xml TEXT,                           -- Raw section XML
    raw_text TEXT,                          -- Extracted plain text
    has_tables BOOLEAN DEFAULT FALSE,
    table_count INTEGER DEFAULT 0,
    -- Structured extraction (pre-parsed)
    tables_json JSONB,                      -- Parsed tables as JSON
    lists_json JSONB,                       -- Parsed lists as JSON
    -- KB routing (from Truth Sourcing Manifest)
    target_kbs TEXT[] NOT NULL,             -- ['KB-1', 'KB-4']
    extraction_priority VARCHAR(20),        -- 'P0_CRITICAL', 'P1_HIGH', 'P2_MEDIUM'
    -- Processing status
    extracted_at TIMESTAMPTZ DEFAULT NOW(),
    UNIQUE(source_document_id, section_id)
);
CREATE INDEX idx_sections_document ON source_sections(source_document_id);
CREATE INDEX idx_sections_loinc ON source_sections(loinc_code);
CREATE INDEX idx_sections_target_kbs ON source_sections USING GIN (target_kbs);
CREATE INDEX idx_sections_has_tables ON source_sections(has_tables) WHERE has_tables = TRUE;</w:t>
            </w:r>
          </w:p>
        </w:tc>
      </w:tr>
    </w:tbl>
    <w:p>
      <w:pPr>
        <w:spacing w:before="300"/>
      </w:pPr>
    </w:p>
    <w:p>
      <w:pPr>
        <w:pStyle w:val="Heading2"/>
        <w:spacing w:before="300" w:after="150"/>
      </w:pPr>
      <w:r>
        <w:rPr>
          <w:b/>
          <w:bCs/>
          <w:sz w:val="30"/>
          <w:szCs w:val="30"/>
        </w:rPr>
        <w:t xml:space="preserve">4.2 Domain Objects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BB2B9" w:sz="1"/>
              <w:left w:val="single" w:color="ABB2B9" w:sz="1"/>
              <w:bottom w:val="single" w:color="ABB2B9" w:sz="1"/>
              <w:right w:val="single" w:color="ABB2B9" w:sz="1"/>
            </w:tcBorders>
            <w:shd w:fill="F8F9F9" w:val="clear"/>
            <w:tcMar>
              <w:top w:type="dxa" w:w="100"/>
              <w:left w:type="dxa" w:w="150"/>
              <w:bottom w:type="dxa" w:w="100"/>
              <w:right w:type="dxa" w:w="150"/>
            </w:tcMar>
          </w:tcPr>
          <w:p>
            <w:pPr>
              <w:spacing w:after="50"/>
            </w:pPr>
            <w:r>
              <w:rPr>
                <w:rFonts w:ascii="Courier New" w:cs="Courier New" w:eastAsia="Courier New" w:hAnsi="Courier New"/>
                <w:b/>
                <w:bCs/>
                <w:sz w:val="18"/>
                <w:szCs w:val="18"/>
              </w:rPr>
              <w:t xml:space="preserve">Go Domain Objects</w:t>
            </w:r>
          </w:p>
          <w:p>
            <w:r>
              <w:rPr>
                <w:rFonts w:ascii="Courier New" w:cs="Courier New" w:eastAsia="Courier New" w:hAnsi="Courier New"/>
                <w:sz w:val="16"/>
                <w:szCs w:val="16"/>
              </w:rPr>
              <w:t xml:space="preserve">// SPLDocument represents a complete SPL document
type SPLDocument struct {
    // Identifiers
    SetID          string    `json:"set_id"`
    Version        int       `json:"version"`
    DocumentID     string    `json:"document_id"`
    // Metadata
    Title          string    `json:"title"`
    EffectiveDate  time.Time `json:"effective_date"`
    PublishedDate  time.Time `json:"published_date"`
    // Drug identifiers
    DrugName       string    `json:"drug_name"`
    RxCUI          string    `json:"rxcui,omitempty"`
    NDCCodes       []string  `json:"ndc_codes,omitempty"`
    // Content
    Sections       []SPLSection `json:"sections"`
    // Raw storage
    RawXMLPath     string    `json:"raw_xml_path"`
    RawXMLHash     string    `json:"raw_xml_hash"`
}
// SPLSection represents a LOINC-coded section
type SPLSection struct {
    ID             string       `json:"id"`
    LOINCCode      string       `json:"loinc_code"`
    LOINCDisplay   string       `json:"loinc_display"`
    Title          string       `json:"title"`
    Sequence       int          `json:"sequence"`
    NestingLevel   int          `json:"nesting_level"`
    // Content
    RawXML         string       `json:"raw_xml"`
    PlainText      string       `json:"plain_text"`
    // Structured content
    Tables         []SPLTable   `json:"tables,omitempty"`
    Lists          []SPLList    `json:"lists,omitempty"`
    // Routing
    TargetKBs      []string     `json:"target_kbs"`
    Priority       string       `json:"priority"`
    // Subsections
    Subsections    []SPLSection `json:"subsections,omitempty"`
}
// SPLTable represents an extracted table
type SPLTable struct {
    ID       string     `json:"id,omitempty"`
    Headers  []string   `json:"headers"`
    Rows     [][]string `json:"rows"`
    Caption  string     `json:"caption,omitempty"`
    // Classification (for routing)
    TableType string    `json:"table_type"`  // GFR_DOSING, HEPATIC_DOSING, DDI, PK, UNKNOWN
}</w:t>
            </w:r>
          </w:p>
        </w:tc>
      </w:tr>
    </w:tbl>
    <w:p>
      <w:r>
        <w:br w:type="page"/>
      </w:r>
    </w:p>
    <w:p>
      <w:pPr>
        <w:pStyle w:val="Heading1"/>
        <w:spacing w:before="400" w:after="200"/>
      </w:pPr>
      <w:r>
        <w:rPr>
          <w:b/>
          <w:bCs/>
          <w:sz w:val="36"/>
          <w:szCs w:val="36"/>
        </w:rPr>
        <w:t xml:space="preserve">5. Component Architecture</w:t>
      </w:r>
    </w:p>
    <w:p>
      <w:pPr>
        <w:pStyle w:val="Heading2"/>
        <w:spacing w:before="300" w:after="150"/>
      </w:pPr>
      <w:r>
        <w:rPr>
          <w:b/>
          <w:bCs/>
          <w:sz w:val="30"/>
          <w:szCs w:val="30"/>
        </w:rPr>
        <w:t xml:space="preserve">5.1 Component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rFonts w:ascii="Courier New" w:cs="Courier New" w:eastAsia="Courier New" w:hAnsi="Courier New"/>
                <w:sz w:val="13"/>
                <w:szCs w:val="13"/>
              </w:rPr>
              <w:t xml:space="preserve">
┌─────────────────────────────────────────────────────────────────────────────────┐
│                         DAILYMED SPL FETCHER                                     │
│                    shared/datasources/dailymed/                                  │
├─────────────────────────────────────────────────────────────────────────────────┤
│                                                                                  │
│  ┌─────────────────────────────────────────────────────────────────────────────┐│
│  │                           PUBLIC INTERFACE                                   ││
│  │                                                                              ││
│  │  SPLFetcher                                                                  ││
│  │  ├── FetchBySetID(ctx, setID) → (*SPLDocument, error)                       ││
│  │  ├── FetchByRxCUI(ctx, rxcui) → ([]SPLDocument, error)                      ││
│  │  ├── FetchByNDC(ctx, ndc) → (*SPLDocument, error)                           ││
│  │  ├── FetchUpdates(ctx, since time.Time) → ([]SPLDocument, error)            ││
│  │  ├── GetVersionHistory(ctx, setID) → ([]VersionInfo, error)                 ││
│  │  └── SyncDelta(ctx) → (*SyncResult, error)                                  ││
│  │                                                                              ││
│  └─────────────────────────────────────────────────────────────────────────────┘│
│                                      │                                          │
│                                      ▼                                          │
│  ┌────────────────────┐  ┌────────────────────┐  ┌────────────────────────────┐│
│  │  API Client        │  │  Bulk Downloader   │  │  Delta Syncer              ││
│  │  ───────────       │  │  ───────────────   │  │  ────────────              ││
│  │  • REST API calls  │  │  • FTP downloads   │  │  • Track last sync         ││
│  │  • Rate limiting   │  │  • Unzip &amp; stream  │  │  • published_date filter   ││
│  │  • Retry logic     │  │  • Checksum verify │  │  • Batch processing        ││
│  └─────────┬──────────┘  └─────────┬──────────┘  └──────────────┬─────────────┘│
│            │                       │                            │               │
│            └───────────────────────┼────────────────────────────┘               │
│                                    │                                            │
│                                    ▼                                            │
│  ┌─────────────────────────────────────────────────────────────────────────────┐│
│  │                           XML PARSER                                         ││
│  │                                                                              ││
│  │  SPLParser                                                                   ││
│  │  ├── ParseDocument(xml []byte) → (*SPLDocument, error)                      ││
│  │  ├── ParseHeader(xml []byte) → (*SPLHeader, error)                          ││
│  │  ├── ParseSections(xml []byte) → ([]SPLSection, error)                      ││
│  │  └── ParseTable(node) → (*SPLTable, error)                                  ││
│  │                                                                              ││
│  │  Key XPath Expressions:                                                      ││
│  │  • //document/setId/@root                        → SetID                    ││
│  │  • //document/versionNumber/@value               → Version                  ││
│  │  • //structuredBody/component/section            → Sections                 ││
│  │  • //section/code/@code                          → LOINC Code              ││
│  │  • //section/text/table                          → Tables                   ││
│  │                                                                              ││
│  └─────────────────────────────────────────────────────────────────────────────┘│
│                                    │                                            │
│                                    ▼                                            │
│  ┌────────────────────┐  ┌────────────────────┐  ┌────────────────────────────┐│
│  │  Section Router    │  │  Table Classifier  │  │  Storage Manager           ││
│  │  ───────────────   │  │  ────────────────  │  │  ───────────────           ││
│  │  • LOINC → KB map  │  │  • GFR_DOSING      │  │  • Save to Postgres        ││
│  │  • Truth Manifest  │  │  • HEPATIC_DOSING  │  │  • Save XML to S3          ││
│  │  • Priority assign │  │  • DDI_TABLE       │  │  • Hash verification       ││
│  └────────────────────┘  │  • PK_PARAMETERS   │  └────────────────────────────┘│
│                          └────────────────────┘                                 │
│                                                                                  │
└─────────────────────────────────────────────────────────────────────────────────┘
</w:t>
            </w:r>
          </w:p>
        </w:tc>
      </w:tr>
    </w:tbl>
    <w:p>
      <w:pPr>
        <w:spacing w:before="300"/>
      </w:pPr>
    </w:p>
    <w:p>
      <w:pPr>
        <w:pStyle w:val="Heading2"/>
        <w:spacing w:before="300" w:after="150"/>
      </w:pPr>
      <w:r>
        <w:rPr>
          <w:b/>
          <w:bCs/>
          <w:sz w:val="30"/>
          <w:szCs w:val="30"/>
        </w:rPr>
        <w:t xml:space="preserve">5.2 File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BB2B9" w:sz="1"/>
              <w:left w:val="single" w:color="ABB2B9" w:sz="1"/>
              <w:bottom w:val="single" w:color="ABB2B9" w:sz="1"/>
              <w:right w:val="single" w:color="ABB2B9" w:sz="1"/>
            </w:tcBorders>
            <w:shd w:fill="F8F9F9" w:val="clear"/>
            <w:tcMar>
              <w:top w:type="dxa" w:w="100"/>
              <w:left w:type="dxa" w:w="150"/>
              <w:bottom w:type="dxa" w:w="100"/>
              <w:right w:type="dxa" w:w="150"/>
            </w:tcMar>
          </w:tcPr>
          <w:p>
            <w:pPr>
              <w:spacing w:after="50"/>
            </w:pPr>
            <w:r>
              <w:rPr>
                <w:rFonts w:ascii="Courier New" w:cs="Courier New" w:eastAsia="Courier New" w:hAnsi="Courier New"/>
                <w:b/>
                <w:bCs/>
                <w:sz w:val="18"/>
                <w:szCs w:val="18"/>
              </w:rPr>
              <w:t xml:space="preserve">File Structure</w:t>
            </w:r>
          </w:p>
          <w:p>
            <w:r>
              <w:rPr>
                <w:rFonts w:ascii="Courier New" w:cs="Courier New" w:eastAsia="Courier New" w:hAnsi="Courier New"/>
                <w:sz w:val="16"/>
                <w:szCs w:val="16"/>
              </w:rPr>
              <w:t xml:space="preserve">backend/shared-infrastructure/knowledge-base-services/shared/datasources/dailymed/
├── client.go              # Main SPLFetcher interface
├── api_client.go          # REST API client
├── bulk_downloader.go     # FTP bulk download
├── delta_syncer.go        # Incremental sync logic
├── parser.go              # XML parsing
├── section_router.go      # LOINC → KB routing
├── table_classifier.go    # Table type detection
├── storage.go             # Postgres + S3 storage
├── cache.go               # Redis caching layer
├── models.go              # Domain objects
├── loinc_codes.go         # LOINC code constants
├── config.go              # Configuration
└── dailymed_test.go       # Unit tests</w:t>
            </w:r>
          </w:p>
        </w:tc>
      </w:tr>
    </w:tbl>
    <w:p>
      <w:r>
        <w:br w:type="page"/>
      </w:r>
    </w:p>
    <w:p>
      <w:pPr>
        <w:pStyle w:val="Heading1"/>
        <w:spacing w:before="400" w:after="200"/>
      </w:pPr>
      <w:r>
        <w:rPr>
          <w:b/>
          <w:bCs/>
          <w:sz w:val="36"/>
          <w:szCs w:val="36"/>
        </w:rPr>
        <w:t xml:space="preserve">6. Processing Flow</w:t>
      </w:r>
    </w:p>
    <w:p>
      <w:pPr>
        <w:pStyle w:val="Heading2"/>
        <w:spacing w:before="300" w:after="150"/>
      </w:pPr>
      <w:r>
        <w:rPr>
          <w:b/>
          <w:bCs/>
          <w:sz w:val="30"/>
          <w:szCs w:val="30"/>
        </w:rPr>
        <w:t xml:space="preserve">6.1 Fetch &amp; Parse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rFonts w:ascii="Courier New" w:cs="Courier New" w:eastAsia="Courier New" w:hAnsi="Courier New"/>
                <w:sz w:val="13"/>
                <w:szCs w:val="13"/>
              </w:rPr>
              <w:t xml:space="preserve">
┌─────────────────────────────────────────────────────────────────────────────────┐
│                              FETCH &amp; PARSE FLOW                                  │
└─────────────────────────────────────────────────────────────────────────────────┘
  ┌──────────┐
  │  START   │
  └────┬─────┘
       │
       ▼
  ┌──────────────────────────┐
  │ 1. Resolve Identifier    │  Input: SetID, RxCUI, or NDC
  │    ───────────────────   │  Output: SetID (canonical)
  │    RxCUI/NDC → SetID     │
  └────────────┬─────────────┘
               │
               ▼
  ┌──────────────────────────┐     ┌───────────────────┐
  │ 2. Check Cache           │────▶│ Cache HIT         │
  │    ─────────────         │     │ Return cached doc │
  │    Redis: setID+version  │     └───────────────────┘
  └────────────┬─────────────┘
               │ Cache MISS
               ▼
  ┌──────────────────────────┐
  │ 3. Check Database        │     ┌───────────────────┐
  │    ──────────────        │────▶│ DB HIT            │
  │    source_documents      │     │ Load from storage │
  └────────────┬─────────────┘     └───────────────────┘
               │ DB MISS
               ▼
  ┌──────────────────────────┐
  │ 4. Fetch from DailyMed   │
  │    ────────────────────  │
  │    GET /v2/spls/{setid}  │
  │    Download ZIP if needed│
  └────────────┬─────────────┘
               │
               ▼
  ┌──────────────────────────┐
  │ 5. Compute Hash          │  SHA256 of raw XML
  │    ─────────────         │  Skip if hash matches existing
  └────────────┬─────────────┘
               │
               ▼
  ┌──────────────────────────┐
  │ 6. Parse XML Header      │
  │    ─────────────────     │
  │    • SetID, Version      │
  │    • EffectiveDate       │
  │    • Drug identifiers    │
  └────────────┬─────────────┘
               │
               ▼
  ┌──────────────────────────┐
  │ 7. Parse Sections        │
  │    ──────────────        │
  │    For each &lt;section&gt;:   │
  │    • Extract LOINC code  │
  │    • Extract text        │
  │    • Parse tables        │
  │    • Recurse subsections │
  └────────────┬─────────────┘
               │
               ▼
  ┌──────────────────────────┐
  │ 8. Route Sections        │  Apply Truth Sourcing Manifest
  │    ──────────────        │  LOINC 34068-7 → [KB-1, KB-4]
  │    LOINC → Target KBs    │  LOINC 34073-7 → [KB-5]
  └────────────┬─────────────┘
               │
               ▼
  ┌──────────────────────────┐
  │ 9. Classify Tables       │
  │    ────────────────      │
  │    Detect table type:    │
  │    GFR_DOSING, DDI, etc  │
  └────────────┬─────────────┘
               │
               ▼
  ┌──────────────────────────┐
  │ 10. Store Document       │
  │     ──────────────       │
  │     • XML → S3           │
  │     • Metadata → Postgres│
  │     • Sections → Postgres│
  │     • Cache → Redis      │
  └────────────┬─────────────┘
               │
               ▼
  ┌──────────────────────────┐
  │ 11. Return SPLDocument   │
  └──────────────────────────┘
</w:t>
            </w:r>
          </w:p>
        </w:tc>
      </w:tr>
    </w:tbl>
    <w:p>
      <w:r>
        <w:br w:type="page"/>
      </w:r>
    </w:p>
    <w:p>
      <w:pPr>
        <w:pStyle w:val="Heading2"/>
        <w:spacing w:before="300" w:after="150"/>
      </w:pPr>
      <w:r>
        <w:rPr>
          <w:b/>
          <w:bCs/>
          <w:sz w:val="30"/>
          <w:szCs w:val="30"/>
        </w:rPr>
        <w:t xml:space="preserve">6.2 Delta Sync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rFonts w:ascii="Courier New" w:cs="Courier New" w:eastAsia="Courier New" w:hAnsi="Courier New"/>
                <w:sz w:val="13"/>
                <w:szCs w:val="13"/>
              </w:rPr>
              <w:t xml:space="preserve">
┌─────────────────────────────────────────────────────────────────────────────────┐
│                              DELTA SYNC FLOW                                     │
│                         (Daily/Weekly Scheduled Job)                             │
└─────────────────────────────────────────────────────────────────────────────────┘
  ┌───────────────────┐
  │ Scheduled Trigger │  Daily @ 02:00 UTC
  │ (Cron Job)        │  Or manual trigger
  └─────────┬─────────┘
            │
            ▼
  ┌──────────────────────────────────────────────────────────┐
  │ 1. Get Last Sync Timestamp                               │
  │    SELECT MAX(fetched_at) FROM source_documents          │
  │    WHERE source_type = 'FDA_SPL'                         │
  └────────────────────────────┬─────────────────────────────┘
                               │
                               ▼
  ┌──────────────────────────────────────────────────────────┐
  │ 2. Query DailyMed for Updates                            │
  │    GET /v2/spls.json?published_date={last_sync}          │
  │    &amp;published_date_comparison=gte&amp;pagesize=100           │
  │                                                          │
  │    Paginate through all results                          │
  └────────────────────────────┬─────────────────────────────┘
                               │
                               ▼
  ┌──────────────────────────────────────────────────────────┐
  │ 3. For Each Updated SPL:                                 │
  │    ┌────────────────────────────────────────────────────┐│
  │    │ a. Check if SetID+Version exists in DB             ││
  │    │    • If exists with same hash → SKIP               ││
  │    │    • If exists with different hash → RE-FETCH      ││
  │    │    • If not exists → NEW DOCUMENT                  ││
  │    │                                                    ││
  │    │ b. Fetch full SPL XML                              ││
  │    │    GET /v2/spls/{setid}.xml                        ││
  │    │                                                    ││
  │    │ c. Parse and store (same as single fetch)          ││
  │    │                                                    ││
  │    │ d. Mark as processed in sync log                   ││
  │    └────────────────────────────────────────────────────┘│
  └────────────────────────────┬─────────────────────────────┘
                               │
                               ▼
  ┌──────────────────────────────────────────────────────────┐
  │ 4. Update Sync Metadata                                  │
  │    INSERT INTO sync_log (source_type, started_at,        │
  │                          completed_at, documents_synced, │
  │                          documents_skipped, errors)      │
  └────────────────────────────┬─────────────────────────────┘
                               │
                               ▼
  ┌──────────────────────────────────────────────────────────┐
  │ 5. Emit Events for Downstream Processing                 │
  │    • Publish to message queue: SPL_DOCUMENT_UPDATED      │
  │    • KB extractors subscribe and process new sections    │
  └──────────────────────────────────────────────────────────┘
SYNC STRATEGIES:
─────────────────
• DAILY:   published_date &gt;= yesterday
• WEEKLY:  published_date &gt;= 7 days ago
• MONTHLY: Full comparison scan (hash-based)
• FULL:    Re-download and re-parse everything (rare)
</w:t>
            </w:r>
          </w:p>
        </w:tc>
      </w:tr>
    </w:tbl>
    <w:p>
      <w:r>
        <w:br w:type="page"/>
      </w:r>
    </w:p>
    <w:p>
      <w:pPr>
        <w:pStyle w:val="Heading1"/>
        <w:spacing w:before="400" w:after="200"/>
      </w:pPr>
      <w:r>
        <w:rPr>
          <w:b/>
          <w:bCs/>
          <w:sz w:val="36"/>
          <w:szCs w:val="36"/>
        </w:rPr>
        <w:t xml:space="preserve">7. Section Routing (Truth Sourcing Manifest)</w:t>
      </w:r>
    </w:p>
    <w:p>
      <w:pPr>
        <w:pStyle w:val="Heading2"/>
        <w:spacing w:before="300" w:after="150"/>
      </w:pPr>
      <w:r>
        <w:rPr>
          <w:b/>
          <w:bCs/>
          <w:sz w:val="30"/>
          <w:szCs w:val="30"/>
        </w:rPr>
        <w:t xml:space="preserve">7.1 LOINC → KB Routing Map</w:t>
      </w:r>
    </w:p>
    <w:p>
      <w:pPr>
        <w:spacing w:after="200" w:line="276"/>
      </w:pPr>
      <w:r>
        <w:rPr>
          <w:sz w:val="24"/>
          <w:szCs w:val="24"/>
        </w:rPr>
        <w:t xml:space="preserve">The Section Router applies the Truth Sourcing Manifest to determine which KBs should receive each parsed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BB2B9" w:sz="1"/>
              <w:left w:val="single" w:color="ABB2B9" w:sz="1"/>
              <w:bottom w:val="single" w:color="ABB2B9" w:sz="1"/>
              <w:right w:val="single" w:color="ABB2B9" w:sz="1"/>
            </w:tcBorders>
            <w:shd w:fill="F8F9F9" w:val="clear"/>
            <w:tcMar>
              <w:top w:type="dxa" w:w="100"/>
              <w:left w:type="dxa" w:w="150"/>
              <w:bottom w:type="dxa" w:w="100"/>
              <w:right w:type="dxa" w:w="150"/>
            </w:tcMar>
          </w:tcPr>
          <w:p>
            <w:pPr>
              <w:spacing w:after="50"/>
            </w:pPr>
            <w:r>
              <w:rPr>
                <w:rFonts w:ascii="Courier New" w:cs="Courier New" w:eastAsia="Courier New" w:hAnsi="Courier New"/>
                <w:b/>
                <w:bCs/>
                <w:sz w:val="18"/>
                <w:szCs w:val="18"/>
              </w:rPr>
              <w:t xml:space="preserve">LOINC Routing Configuration</w:t>
            </w:r>
          </w:p>
          <w:p>
            <w:r>
              <w:rPr>
                <w:rFonts w:ascii="Courier New" w:cs="Courier New" w:eastAsia="Courier New" w:hAnsi="Courier New"/>
                <w:sz w:val="16"/>
                <w:szCs w:val="16"/>
              </w:rPr>
              <w:t xml:space="preserve">// loinc_codes.go - LOINC code constants and routing configuration
package dailymed
// LOINC codes for FDA SPL sections
const (
    LOINCBoxedWarning         = "34066-1"
    LOINCDosageAdministration = "34068-7"
    LOINCContraindications    = "34070-3"
    LOINCDrugInteractions     = "34073-7"
    LOINCPregnancy            = "34077-8"
    LOINCNursingMothers       = "34080-2"
    LOINCPediatricUse         = "34081-0"
    LOINCGeriatricUse         = "34082-8"
    LOINCAdverseReactions     = "34084-4"
    LOINCClinicalPharmacology = "34090-1"
    LOINCWarningsPrecautions  = "43685-7"
    LOINCOverdosage           = "34088-5"
    LOINCIndicationsUsage     = "34067-9"
    LOINCHowSupplied          = "34069-5"
)
// SectionRouting defines KB targets for each LOINC code
type SectionRouting struct {
    LOINCCode        string
    LOINCDisplay     string
    TargetKBs        []string
    Priority         string   // P0_CRITICAL, P1_HIGH, P2_MEDIUM
    RequiresAuthority string  // If set, route to this authority instead
    ContentExpectation string // TABLE, NARRATIVE, MIXED
}
// DefaultRoutingMap is the Truth Sourcing Manifest for SPL sections
var DefaultRoutingMap = map[string]SectionRouting{
    LOINCBoxedWarning: {
        LOINCCode:          LOINCBoxedWarning,
        LOINCDisplay:       "BOXED WARNING",
        TargetKBs:          []string{"KB-4"},
        Priority:           "P0_CRITICAL",
        ContentExpectation: "NARRATIVE",
    },
    LOINCDosageAdministration: {
        LOINCCode:          LOINCDosageAdministration,
        LOINCDisplay:       "DOSAGE AND ADMINISTRATION",
        TargetKBs:          []string{"KB-1", "KB-4"},
        Priority:           "P0_CRITICAL",
        ContentExpectation: "MIXED",  // Tables for renal/hepatic + narrative
    },
    LOINCContraindications: {
        LOINCCode:          LOINCContraindications,
        LOINCDisplay:       "CONTRAINDICATIONS",
        TargetKBs:          []string{"KB-4"},
        Priority:           "P0_CRITICAL",
        ContentExpectation: "NARRATIVE",
    },
    LOINCDrugInteractions: {
        LOINCCode:          LOINCDrugInteractions,
        LOINCDisplay:       "DRUG INTERACTIONS",
        TargetKBs:          []string{"KB-5"},
        Priority:           "P1_HIGH",
        ContentExpectation: "MIXED",
    },
    LOINCWarningsPrecautions: {
        LOINCCode:          LOINCWarningsPrecautions,
        LOINCDisplay:       "WARNINGS AND PRECAUTIONS",
        TargetKBs:          []string{"KB-4", "KB-16"},
        Priority:           "P0_CRITICAL",
        ContentExpectation: "NARRATIVE",
    },
    LOINCNursingMothers: {
        LOINCCode:          LOINCNursingMothers,
        LOINCDisplay:       "NURSING MOTHERS",
        TargetKBs:          []string{"KB-4"},
        Priority:           "P1_HIGH",
        RequiresAuthority:  "LACTMED",  // Route to LactMed for RID%
        ContentExpectation: "NARRATIVE",
    },
    LOINCGeriatricUse: {
        LOINCCode:          LOINCGeriatricUse,
        LOINCDisplay:       "GERIATRIC USE",
        TargetKBs:          []string{"KB-4"},
        Priority:           "P1_HIGH",
        RequiresAuthority:  "BEERS_STOPP",  // Route to Beers/STOPP
        ContentExpectation: "NARRATIVE",
    },
    LOINCClinicalPharmacology: {
        LOINCCode:          LOINCClinicalPharmacology,
        LOINCDisplay:       "CLINICAL PHARMACOLOGY",
        TargetKBs:          []string{"KB-1"},
        Priority:           "P2_MEDIUM",
        RequiresAuthority:  "DRUGBANK",  // Route to DrugBank for PK
        ContentExpectation: "TABLE",
    },
    // ... additional mappings
}</w:t>
            </w:r>
          </w:p>
        </w:tc>
      </w:tr>
    </w:tbl>
    <w:p>
      <w:pPr>
        <w:spacing w:before="300"/>
      </w:pPr>
    </w:p>
    <w:p>
      <w:pPr>
        <w:pStyle w:val="Heading2"/>
        <w:spacing w:before="300" w:after="150"/>
      </w:pPr>
      <w:r>
        <w:rPr>
          <w:b/>
          <w:bCs/>
          <w:sz w:val="30"/>
          <w:szCs w:val="30"/>
        </w:rPr>
        <w:t xml:space="preserve">7.2 Table Classification</w:t>
      </w:r>
    </w:p>
    <w:p>
      <w:pPr>
        <w:spacing w:after="200" w:line="276"/>
      </w:pPr>
      <w:r>
        <w:rPr>
          <w:sz w:val="24"/>
          <w:szCs w:val="24"/>
        </w:rPr>
        <w:t xml:space="preserve">Tables within SPL sections are classified to enable targeted extraction. This classification is based on header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BB2B9" w:sz="1"/>
              <w:left w:val="single" w:color="ABB2B9" w:sz="1"/>
              <w:bottom w:val="single" w:color="ABB2B9" w:sz="1"/>
              <w:right w:val="single" w:color="ABB2B9" w:sz="1"/>
            </w:tcBorders>
            <w:shd w:fill="F8F9F9" w:val="clear"/>
            <w:tcMar>
              <w:top w:type="dxa" w:w="100"/>
              <w:left w:type="dxa" w:w="150"/>
              <w:bottom w:type="dxa" w:w="100"/>
              <w:right w:type="dxa" w:w="150"/>
            </w:tcMar>
          </w:tcPr>
          <w:p>
            <w:pPr>
              <w:spacing w:after="50"/>
            </w:pPr>
            <w:r>
              <w:rPr>
                <w:rFonts w:ascii="Courier New" w:cs="Courier New" w:eastAsia="Courier New" w:hAnsi="Courier New"/>
                <w:b/>
                <w:bCs/>
                <w:sz w:val="18"/>
                <w:szCs w:val="18"/>
              </w:rPr>
              <w:t xml:space="preserve">Table Classification Logic</w:t>
            </w:r>
          </w:p>
          <w:p>
            <w:r>
              <w:rPr>
                <w:rFonts w:ascii="Courier New" w:cs="Courier New" w:eastAsia="Courier New" w:hAnsi="Courier New"/>
                <w:sz w:val="16"/>
                <w:szCs w:val="16"/>
              </w:rPr>
              <w:t xml:space="preserve">// table_classifier.go - Classify table types for extraction routing
package dailymed
type TableType string
const (
    TableTypeGFRDosing     TableType = "GFR_DOSING"      // Renal dose adjustments
    TableTypeHepaticDosing TableType = "HEPATIC_DOSING"  // Child-Pugh dosing
    TableTypeDDI           TableType = "DDI"             // Drug-drug interactions
    TableTypePK            TableType = "PK_PARAMETERS"   // Pharmacokinetic data
    TableTypeAdverseEvents TableType = "ADVERSE_EVENTS"  // AE incidence
    TableTypeUnknown       TableType = "UNKNOWN"
)
// ClassifyTable analyzes table headers to determine type
func ClassifyTable(table *SPLTable) TableType {
    headerText := strings.ToLower(strings.Join(table.Headers, " "))
    // GFR/Renal Dosing patterns
    if containsAny(headerText, []string{
        "creatinine clearance", "crcl", "egfr", "gfr",
        "renal impairment", "renal function", "ml/min",
    }) {
        return TableTypeGFRDosing
    }
    // Hepatic Dosing patterns
    if containsAny(headerText, []string{
        "child-pugh", "hepatic impairment", "liver function",
        "hepatic function", "cirrhosis",
    }) {
        return TableTypeHepaticDosing
    }
    // Drug Interaction patterns
    if containsAny(headerText, []string{
        "interacting drug", "concomitant", "co-administered",
        "effect on", "clinical impact", "cyp",
    }) {
        return TableTypeDDI
    }
    // Pharmacokinetic patterns
    if containsAny(headerText, []string{
        "half-life", "t1/2", "clearance", "volume of distribution",
        "auc", "cmax", "tmax", "bioavailability",
    }) {
        return TableTypePK
    }
    // Adverse Events patterns
    if containsAny(headerText, []string{
        "adverse reaction", "adverse event", "incidence", 
        "placebo", "treatment group", "percentage",
    }) {
        return TableTypeAdverseEvents
    }
    return TableTypeUnknown
}</w:t>
            </w:r>
          </w:p>
        </w:tc>
      </w:tr>
    </w:tbl>
    <w:p>
      <w:r>
        <w:br w:type="page"/>
      </w:r>
    </w:p>
    <w:p>
      <w:pPr>
        <w:pStyle w:val="Heading1"/>
        <w:spacing w:before="400" w:after="200"/>
      </w:pPr>
      <w:r>
        <w:rPr>
          <w:b/>
          <w:bCs/>
          <w:sz w:val="36"/>
          <w:szCs w:val="36"/>
        </w:rPr>
        <w:t xml:space="preserve">8. Error Handling &amp; Resilience</w:t>
      </w:r>
    </w:p>
    <w:p>
      <w:pPr>
        <w:pStyle w:val="Heading2"/>
        <w:spacing w:before="300" w:after="150"/>
      </w:pPr>
      <w:r>
        <w:rPr>
          <w:b/>
          <w:bCs/>
          <w:sz w:val="30"/>
          <w:szCs w:val="30"/>
        </w:rPr>
        <w:t xml:space="preserve">8.1 Error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c>
          <w:tcPr>
            <w:tcW w:type="dxa" w:w="2000"/>
            <w:tcBorders>
              <w:top w:val="single" w:color="ABB2B9" w:sz="1"/>
              <w:left w:val="single" w:color="ABB2B9" w:sz="1"/>
              <w:bottom w:val="single" w:color="ABB2B9" w:sz="1"/>
              <w:right w:val="single" w:color="ABB2B9" w:sz="1"/>
            </w:tcBorders>
            <w:shd w:fill="C0392B" w:val="clear"/>
            <w:tcMar>
              <w:top w:type="dxa" w:w="60"/>
              <w:left w:type="dxa" w:w="100"/>
              <w:bottom w:type="dxa" w:w="60"/>
              <w:right w:type="dxa" w:w="100"/>
            </w:tcMar>
          </w:tcPr>
          <w:p>
            <w:r>
              <w:rPr>
                <w:b/>
                <w:bCs/>
                <w:color w:val="FFFFFF"/>
                <w:sz w:val="20"/>
                <w:szCs w:val="20"/>
              </w:rPr>
              <w:t xml:space="preserve">Error Type</w:t>
            </w:r>
          </w:p>
        </w:tc>
        <w:tc>
          <w:tcPr>
            <w:tcW w:type="dxa" w:w="3000"/>
            <w:tcBorders>
              <w:top w:val="single" w:color="ABB2B9" w:sz="1"/>
              <w:left w:val="single" w:color="ABB2B9" w:sz="1"/>
              <w:bottom w:val="single" w:color="ABB2B9" w:sz="1"/>
              <w:right w:val="single" w:color="ABB2B9" w:sz="1"/>
            </w:tcBorders>
            <w:shd w:fill="C0392B" w:val="clear"/>
            <w:tcMar>
              <w:top w:type="dxa" w:w="60"/>
              <w:left w:type="dxa" w:w="100"/>
              <w:bottom w:type="dxa" w:w="60"/>
              <w:right w:type="dxa" w:w="100"/>
            </w:tcMar>
          </w:tcPr>
          <w:p>
            <w:r>
              <w:rPr>
                <w:b/>
                <w:bCs/>
                <w:color w:val="FFFFFF"/>
                <w:sz w:val="20"/>
                <w:szCs w:val="20"/>
              </w:rPr>
              <w:t xml:space="preserve">Examples</w:t>
            </w:r>
          </w:p>
        </w:tc>
        <w:tc>
          <w:tcPr>
            <w:tcW w:type="dxa" w:w="2200"/>
            <w:tcBorders>
              <w:top w:val="single" w:color="ABB2B9" w:sz="1"/>
              <w:left w:val="single" w:color="ABB2B9" w:sz="1"/>
              <w:bottom w:val="single" w:color="ABB2B9" w:sz="1"/>
              <w:right w:val="single" w:color="ABB2B9" w:sz="1"/>
            </w:tcBorders>
            <w:shd w:fill="C0392B" w:val="clear"/>
            <w:tcMar>
              <w:top w:type="dxa" w:w="60"/>
              <w:left w:type="dxa" w:w="100"/>
              <w:bottom w:type="dxa" w:w="60"/>
              <w:right w:type="dxa" w:w="100"/>
            </w:tcMar>
          </w:tcPr>
          <w:p>
            <w:r>
              <w:rPr>
                <w:b/>
                <w:bCs/>
                <w:color w:val="FFFFFF"/>
                <w:sz w:val="20"/>
                <w:szCs w:val="20"/>
              </w:rPr>
              <w:t xml:space="preserve">Response</w:t>
            </w:r>
          </w:p>
        </w:tc>
        <w:tc>
          <w:tcPr>
            <w:tcW w:type="dxa" w:w="2160"/>
            <w:tcBorders>
              <w:top w:val="single" w:color="ABB2B9" w:sz="1"/>
              <w:left w:val="single" w:color="ABB2B9" w:sz="1"/>
              <w:bottom w:val="single" w:color="ABB2B9" w:sz="1"/>
              <w:right w:val="single" w:color="ABB2B9" w:sz="1"/>
            </w:tcBorders>
            <w:shd w:fill="C0392B" w:val="clear"/>
            <w:tcMar>
              <w:top w:type="dxa" w:w="60"/>
              <w:left w:type="dxa" w:w="100"/>
              <w:bottom w:type="dxa" w:w="60"/>
              <w:right w:type="dxa" w:w="100"/>
            </w:tcMar>
          </w:tcPr>
          <w:p>
            <w:r>
              <w:rPr>
                <w:b/>
                <w:bCs/>
                <w:color w:val="FFFFFF"/>
                <w:sz w:val="20"/>
                <w:szCs w:val="20"/>
              </w:rPr>
              <w:t xml:space="preserve">Retry?</w:t>
            </w:r>
          </w:p>
        </w:tc>
      </w:tr>
      <w:tr>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20"/>
                <w:szCs w:val="20"/>
              </w:rPr>
              <w:t xml:space="preserve">Network</w:t>
            </w:r>
          </w:p>
        </w:tc>
        <w:tc>
          <w:tcPr>
            <w:tcW w:type="dxa" w:w="3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Timeout, connection refused, DNS failure</w:t>
            </w:r>
          </w:p>
        </w:tc>
        <w:tc>
          <w:tcPr>
            <w:tcW w:type="dxa" w:w="22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Log + exponential backoff</w:t>
            </w:r>
          </w:p>
        </w:tc>
        <w:tc>
          <w:tcPr>
            <w:tcW w:type="dxa" w:w="21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color w:val="27AE60"/>
                <w:sz w:val="20"/>
                <w:szCs w:val="20"/>
              </w:rPr>
              <w:t xml:space="preserve">Yes (max 3)</w:t>
            </w:r>
          </w:p>
        </w:tc>
      </w:tr>
      <w:tr>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20"/>
                <w:szCs w:val="20"/>
              </w:rPr>
              <w:t xml:space="preserve">Rate Limit</w:t>
            </w:r>
          </w:p>
        </w:tc>
        <w:tc>
          <w:tcPr>
            <w:tcW w:type="dxa" w:w="3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HTTP 429 Too Many Requests</w:t>
            </w:r>
          </w:p>
        </w:tc>
        <w:tc>
          <w:tcPr>
            <w:tcW w:type="dxa" w:w="22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Log + wait + retry</w:t>
            </w:r>
          </w:p>
        </w:tc>
        <w:tc>
          <w:tcPr>
            <w:tcW w:type="dxa" w:w="21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color w:val="27AE60"/>
                <w:sz w:val="20"/>
                <w:szCs w:val="20"/>
              </w:rPr>
              <w:t xml:space="preserve">Yes (with delay)</w:t>
            </w:r>
          </w:p>
        </w:tc>
      </w:tr>
      <w:tr>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20"/>
                <w:szCs w:val="20"/>
              </w:rPr>
              <w:t xml:space="preserve">Not Found</w:t>
            </w:r>
          </w:p>
        </w:tc>
        <w:tc>
          <w:tcPr>
            <w:tcW w:type="dxa" w:w="3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HTTP 404, SetID doesn't exist</w:t>
            </w:r>
          </w:p>
        </w:tc>
        <w:tc>
          <w:tcPr>
            <w:tcW w:type="dxa" w:w="22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Log + mark as missing</w:t>
            </w:r>
          </w:p>
        </w:tc>
        <w:tc>
          <w:tcPr>
            <w:tcW w:type="dxa" w:w="21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color w:val="C0392B"/>
                <w:sz w:val="20"/>
                <w:szCs w:val="20"/>
              </w:rPr>
              <w:t xml:space="preserve">No</w:t>
            </w:r>
          </w:p>
        </w:tc>
      </w:tr>
      <w:tr>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20"/>
                <w:szCs w:val="20"/>
              </w:rPr>
              <w:t xml:space="preserve">Server Error</w:t>
            </w:r>
          </w:p>
        </w:tc>
        <w:tc>
          <w:tcPr>
            <w:tcW w:type="dxa" w:w="3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HTTP 5xx, DailyMed unavailable</w:t>
            </w:r>
          </w:p>
        </w:tc>
        <w:tc>
          <w:tcPr>
            <w:tcW w:type="dxa" w:w="22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Log + exponential backoff</w:t>
            </w:r>
          </w:p>
        </w:tc>
        <w:tc>
          <w:tcPr>
            <w:tcW w:type="dxa" w:w="21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color w:val="27AE60"/>
                <w:sz w:val="20"/>
                <w:szCs w:val="20"/>
              </w:rPr>
              <w:t xml:space="preserve">Yes (max 3)</w:t>
            </w:r>
          </w:p>
        </w:tc>
      </w:tr>
      <w:tr>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20"/>
                <w:szCs w:val="20"/>
              </w:rPr>
              <w:t xml:space="preserve">Malformed XML</w:t>
            </w:r>
          </w:p>
        </w:tc>
        <w:tc>
          <w:tcPr>
            <w:tcW w:type="dxa" w:w="3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Invalid XML syntax, missing elements</w:t>
            </w:r>
          </w:p>
        </w:tc>
        <w:tc>
          <w:tcPr>
            <w:tcW w:type="dxa" w:w="22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Log error + skip document</w:t>
            </w:r>
          </w:p>
        </w:tc>
        <w:tc>
          <w:tcPr>
            <w:tcW w:type="dxa" w:w="21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color w:val="C0392B"/>
                <w:sz w:val="20"/>
                <w:szCs w:val="20"/>
              </w:rPr>
              <w:t xml:space="preserve">No</w:t>
            </w:r>
          </w:p>
        </w:tc>
      </w:tr>
      <w:tr>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20"/>
                <w:szCs w:val="20"/>
              </w:rPr>
              <w:t xml:space="preserve">Missing Section</w:t>
            </w:r>
          </w:p>
        </w:tc>
        <w:tc>
          <w:tcPr>
            <w:tcW w:type="dxa" w:w="3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Expected LOINC section not present</w:t>
            </w:r>
          </w:p>
        </w:tc>
        <w:tc>
          <w:tcPr>
            <w:tcW w:type="dxa" w:w="22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Log warning + continue</w:t>
            </w:r>
          </w:p>
        </w:tc>
        <w:tc>
          <w:tcPr>
            <w:tcW w:type="dxa" w:w="21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N/A</w:t>
            </w:r>
          </w:p>
        </w:tc>
      </w:tr>
      <w:tr>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20"/>
                <w:szCs w:val="20"/>
              </w:rPr>
              <w:t xml:space="preserve">Storage Failure</w:t>
            </w:r>
          </w:p>
        </w:tc>
        <w:tc>
          <w:tcPr>
            <w:tcW w:type="dxa" w:w="3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Postgres/S3 write failure</w:t>
            </w:r>
          </w:p>
        </w:tc>
        <w:tc>
          <w:tcPr>
            <w:tcW w:type="dxa" w:w="22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Log + rollback + retry</w:t>
            </w:r>
          </w:p>
        </w:tc>
        <w:tc>
          <w:tcPr>
            <w:tcW w:type="dxa" w:w="21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color w:val="27AE60"/>
                <w:sz w:val="20"/>
                <w:szCs w:val="20"/>
              </w:rPr>
              <w:t xml:space="preserve">Yes (max 3)</w:t>
            </w:r>
          </w:p>
        </w:tc>
      </w:tr>
    </w:tbl>
    <w:p>
      <w:pPr>
        <w:spacing w:before="300"/>
      </w:pPr>
    </w:p>
    <w:p>
      <w:pPr>
        <w:pStyle w:val="Heading2"/>
        <w:spacing w:before="300" w:after="150"/>
      </w:pPr>
      <w:r>
        <w:rPr>
          <w:b/>
          <w:bCs/>
          <w:sz w:val="30"/>
          <w:szCs w:val="30"/>
        </w:rPr>
        <w:t xml:space="preserve">8.2 Retry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BB2B9" w:sz="1"/>
              <w:left w:val="single" w:color="ABB2B9" w:sz="1"/>
              <w:bottom w:val="single" w:color="ABB2B9" w:sz="1"/>
              <w:right w:val="single" w:color="ABB2B9" w:sz="1"/>
            </w:tcBorders>
            <w:shd w:fill="F8F9F9" w:val="clear"/>
            <w:tcMar>
              <w:top w:type="dxa" w:w="100"/>
              <w:left w:type="dxa" w:w="150"/>
              <w:bottom w:type="dxa" w:w="100"/>
              <w:right w:type="dxa" w:w="150"/>
            </w:tcMar>
          </w:tcPr>
          <w:p>
            <w:pPr>
              <w:spacing w:after="50"/>
            </w:pPr>
            <w:r>
              <w:rPr>
                <w:rFonts w:ascii="Courier New" w:cs="Courier New" w:eastAsia="Courier New" w:hAnsi="Courier New"/>
                <w:b/>
                <w:bCs/>
                <w:sz w:val="18"/>
                <w:szCs w:val="18"/>
              </w:rPr>
              <w:t xml:space="preserve">Retry Strategy</w:t>
            </w:r>
          </w:p>
          <w:p>
            <w:r>
              <w:rPr>
                <w:rFonts w:ascii="Courier New" w:cs="Courier New" w:eastAsia="Courier New" w:hAnsi="Courier New"/>
                <w:sz w:val="16"/>
                <w:szCs w:val="16"/>
              </w:rPr>
              <w:t xml:space="preserve">// Exponential backoff configuration
type RetryConfig struct {
    MaxRetries     int           // Default: 3
    InitialDelay   time.Duration // Default: 1 second
    MaxDelay       time.Duration // Default: 30 seconds
    Multiplier     float64       // Default: 2.0
    RetryableCodes []int         // 429, 500, 502, 503, 504
}
// Retry delays: 1s → 2s → 4s → 8s → 16s → 30s (capped)
func (c *APIClient) fetchWithRetry(ctx context.Context, url string) ([]byte, error) {
    var lastErr error
    delay := c.retryConfig.InitialDelay
    for attempt := 0; attempt &lt;= c.retryConfig.MaxRetries; attempt++ {
        if attempt &gt; 0 {
            select {
            case &lt;-ctx.Done():
                return nil, ctx.Err()
            case &lt;-time.After(delay):
            }
            delay = min(time.Duration(float64(delay)*c.retryConfig.Multiplier), c.retryConfig.MaxDelay)
        }
        resp, err := c.httpClient.Get(url)
        if err != nil {
            lastErr = err
            continue
        }
        if resp.StatusCode == http.StatusOK {
            return io.ReadAll(resp.Body)
        }
        if !isRetryable(resp.StatusCode) {
            return nil, fmt.Errorf("non-retryable status: %d", resp.StatusCode)
        }
        lastErr = fmt.Errorf("HTTP %d", resp.StatusCode)
    }
    return nil, fmt.Errorf("max retries exceeded: %w", lastErr)
}</w:t>
            </w:r>
          </w:p>
        </w:tc>
      </w:tr>
    </w:tbl>
    <w:p>
      <w:r>
        <w:br w:type="page"/>
      </w:r>
    </w:p>
    <w:p>
      <w:pPr>
        <w:pStyle w:val="Heading1"/>
        <w:spacing w:before="400" w:after="200"/>
      </w:pPr>
      <w:r>
        <w:rPr>
          <w:b/>
          <w:bCs/>
          <w:sz w:val="36"/>
          <w:szCs w:val="36"/>
        </w:rPr>
        <w:t xml:space="preserve">9. Testing Strategy</w:t>
      </w:r>
    </w:p>
    <w:p>
      <w:pPr>
        <w:pStyle w:val="Heading2"/>
        <w:spacing w:before="300" w:after="150"/>
      </w:pPr>
      <w:r>
        <w:rPr>
          <w:b/>
          <w:bCs/>
          <w:sz w:val="30"/>
          <w:szCs w:val="30"/>
        </w:rPr>
        <w:t xml:space="preserve">9.1 Test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ABB2B9" w:sz="1"/>
              <w:left w:val="single" w:color="ABB2B9" w:sz="1"/>
              <w:bottom w:val="single" w:color="ABB2B9" w:sz="1"/>
              <w:right w:val="single" w:color="ABB2B9" w:sz="1"/>
            </w:tcBorders>
            <w:shd w:fill="D5D8DC" w:val="clear"/>
            <w:tcMar>
              <w:top w:type="dxa" w:w="60"/>
              <w:left w:type="dxa" w:w="100"/>
              <w:bottom w:type="dxa" w:w="60"/>
              <w:right w:type="dxa" w:w="100"/>
            </w:tcMar>
          </w:tcPr>
          <w:p>
            <w:r>
              <w:rPr>
                <w:b/>
                <w:bCs/>
                <w:sz w:val="20"/>
                <w:szCs w:val="20"/>
              </w:rPr>
              <w:t xml:space="preserve">Test Type</w:t>
            </w:r>
          </w:p>
        </w:tc>
        <w:tc>
          <w:tcPr>
            <w:tcW w:type="dxa" w:w="4000"/>
            <w:tcBorders>
              <w:top w:val="single" w:color="ABB2B9" w:sz="1"/>
              <w:left w:val="single" w:color="ABB2B9" w:sz="1"/>
              <w:bottom w:val="single" w:color="ABB2B9" w:sz="1"/>
              <w:right w:val="single" w:color="ABB2B9" w:sz="1"/>
            </w:tcBorders>
            <w:shd w:fill="D5D8DC" w:val="clear"/>
            <w:tcMar>
              <w:top w:type="dxa" w:w="60"/>
              <w:left w:type="dxa" w:w="100"/>
              <w:bottom w:type="dxa" w:w="60"/>
              <w:right w:type="dxa" w:w="100"/>
            </w:tcMar>
          </w:tcPr>
          <w:p>
            <w:r>
              <w:rPr>
                <w:b/>
                <w:bCs/>
                <w:sz w:val="20"/>
                <w:szCs w:val="20"/>
              </w:rPr>
              <w:t xml:space="preserve">Description</w:t>
            </w:r>
          </w:p>
        </w:tc>
        <w:tc>
          <w:tcPr>
            <w:tcW w:type="dxa" w:w="3360"/>
            <w:tcBorders>
              <w:top w:val="single" w:color="ABB2B9" w:sz="1"/>
              <w:left w:val="single" w:color="ABB2B9" w:sz="1"/>
              <w:bottom w:val="single" w:color="ABB2B9" w:sz="1"/>
              <w:right w:val="single" w:color="ABB2B9" w:sz="1"/>
            </w:tcBorders>
            <w:shd w:fill="D5D8DC" w:val="clear"/>
            <w:tcMar>
              <w:top w:type="dxa" w:w="60"/>
              <w:left w:type="dxa" w:w="100"/>
              <w:bottom w:type="dxa" w:w="60"/>
              <w:right w:type="dxa" w:w="100"/>
            </w:tcMar>
          </w:tcPr>
          <w:p>
            <w:r>
              <w:rPr>
                <w:b/>
                <w:bCs/>
                <w:sz w:val="20"/>
                <w:szCs w:val="20"/>
              </w:rPr>
              <w:t xml:space="preserve">Coverage Target</w:t>
            </w:r>
          </w:p>
        </w:tc>
      </w:tr>
      <w:tr>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20"/>
                <w:szCs w:val="20"/>
              </w:rPr>
              <w:t xml:space="preserve">Unit Tests</w:t>
            </w:r>
          </w:p>
        </w:tc>
        <w:tc>
          <w:tcPr>
            <w:tcW w:type="dxa" w:w="4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Test individual functions: XML parsing, table classification, LOINC routing</w:t>
            </w:r>
          </w:p>
        </w:tc>
        <w:tc>
          <w:tcPr>
            <w:tcW w:type="dxa" w:w="3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&gt;90% of parser code</w:t>
            </w:r>
          </w:p>
        </w:tc>
      </w:tr>
      <w:tr>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20"/>
                <w:szCs w:val="20"/>
              </w:rPr>
              <w:t xml:space="preserve">Integration Tests</w:t>
            </w:r>
          </w:p>
        </w:tc>
        <w:tc>
          <w:tcPr>
            <w:tcW w:type="dxa" w:w="4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Test against real DailyMed API (sandboxed), verify storage</w:t>
            </w:r>
          </w:p>
        </w:tc>
        <w:tc>
          <w:tcPr>
            <w:tcW w:type="dxa" w:w="3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All API endpoints</w:t>
            </w:r>
          </w:p>
        </w:tc>
      </w:tr>
      <w:tr>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20"/>
                <w:szCs w:val="20"/>
              </w:rPr>
              <w:t xml:space="preserve">Fixture Tests</w:t>
            </w:r>
          </w:p>
        </w:tc>
        <w:tc>
          <w:tcPr>
            <w:tcW w:type="dxa" w:w="4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Parse sample SPL files from known drugs (metformin, lisinopril)</w:t>
            </w:r>
          </w:p>
        </w:tc>
        <w:tc>
          <w:tcPr>
            <w:tcW w:type="dxa" w:w="3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50 representative SPLs</w:t>
            </w:r>
          </w:p>
        </w:tc>
      </w:tr>
      <w:tr>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b/>
                <w:bCs/>
                <w:sz w:val="20"/>
                <w:szCs w:val="20"/>
              </w:rPr>
              <w:t xml:space="preserve">Regression Tests</w:t>
            </w:r>
          </w:p>
        </w:tc>
        <w:tc>
          <w:tcPr>
            <w:tcW w:type="dxa" w:w="4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Ensure known extractions remain consistent across code changes</w:t>
            </w:r>
          </w:p>
        </w:tc>
        <w:tc>
          <w:tcPr>
            <w:tcW w:type="dxa" w:w="3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Critical sections only</w:t>
            </w:r>
          </w:p>
        </w:tc>
      </w:tr>
    </w:tbl>
    <w:p>
      <w:pPr>
        <w:spacing w:before="300"/>
      </w:pPr>
    </w:p>
    <w:p>
      <w:pPr>
        <w:pStyle w:val="Heading2"/>
        <w:spacing w:before="300" w:after="150"/>
      </w:pPr>
      <w:r>
        <w:rPr>
          <w:b/>
          <w:bCs/>
          <w:sz w:val="30"/>
          <w:szCs w:val="30"/>
        </w:rPr>
        <w:t xml:space="preserve">9.2 Sample Test Drugs</w:t>
      </w:r>
    </w:p>
    <w:p>
      <w:pPr>
        <w:spacing w:after="200" w:line="276"/>
      </w:pPr>
      <w:r>
        <w:rPr>
          <w:sz w:val="24"/>
          <w:szCs w:val="24"/>
        </w:rPr>
        <w:t xml:space="preserve">Use these drugs as test fixtures - they have well-known renal dosing, DDI, and safety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ABB2B9" w:sz="1"/>
              <w:left w:val="single" w:color="ABB2B9" w:sz="1"/>
              <w:bottom w:val="single" w:color="ABB2B9" w:sz="1"/>
              <w:right w:val="single" w:color="ABB2B9" w:sz="1"/>
            </w:tcBorders>
            <w:shd w:fill="D5D8DC" w:val="clear"/>
            <w:tcMar>
              <w:top w:type="dxa" w:w="60"/>
              <w:left w:type="dxa" w:w="100"/>
              <w:bottom w:type="dxa" w:w="60"/>
              <w:right w:type="dxa" w:w="100"/>
            </w:tcMar>
          </w:tcPr>
          <w:p>
            <w:r>
              <w:rPr>
                <w:b/>
                <w:bCs/>
                <w:sz w:val="20"/>
                <w:szCs w:val="20"/>
              </w:rPr>
              <w:t xml:space="preserve">Drug</w:t>
            </w:r>
          </w:p>
        </w:tc>
        <w:tc>
          <w:tcPr>
            <w:tcW w:type="dxa" w:w="2500"/>
            <w:tcBorders>
              <w:top w:val="single" w:color="ABB2B9" w:sz="1"/>
              <w:left w:val="single" w:color="ABB2B9" w:sz="1"/>
              <w:bottom w:val="single" w:color="ABB2B9" w:sz="1"/>
              <w:right w:val="single" w:color="ABB2B9" w:sz="1"/>
            </w:tcBorders>
            <w:shd w:fill="D5D8DC" w:val="clear"/>
            <w:tcMar>
              <w:top w:type="dxa" w:w="60"/>
              <w:left w:type="dxa" w:w="100"/>
              <w:bottom w:type="dxa" w:w="60"/>
              <w:right w:type="dxa" w:w="100"/>
            </w:tcMar>
          </w:tcPr>
          <w:p>
            <w:r>
              <w:rPr>
                <w:b/>
                <w:bCs/>
                <w:sz w:val="20"/>
                <w:szCs w:val="20"/>
              </w:rPr>
              <w:t xml:space="preserve">SetID (Example)</w:t>
            </w:r>
          </w:p>
        </w:tc>
        <w:tc>
          <w:tcPr>
            <w:tcW w:type="dxa" w:w="2000"/>
            <w:tcBorders>
              <w:top w:val="single" w:color="ABB2B9" w:sz="1"/>
              <w:left w:val="single" w:color="ABB2B9" w:sz="1"/>
              <w:bottom w:val="single" w:color="ABB2B9" w:sz="1"/>
              <w:right w:val="single" w:color="ABB2B9" w:sz="1"/>
            </w:tcBorders>
            <w:shd w:fill="D5D8DC" w:val="clear"/>
            <w:tcMar>
              <w:top w:type="dxa" w:w="60"/>
              <w:left w:type="dxa" w:w="100"/>
              <w:bottom w:type="dxa" w:w="60"/>
              <w:right w:type="dxa" w:w="100"/>
            </w:tcMar>
          </w:tcPr>
          <w:p>
            <w:r>
              <w:rPr>
                <w:b/>
                <w:bCs/>
                <w:sz w:val="20"/>
                <w:szCs w:val="20"/>
              </w:rPr>
              <w:t xml:space="preserve">Test Focus</w:t>
            </w:r>
          </w:p>
        </w:tc>
        <w:tc>
          <w:tcPr>
            <w:tcW w:type="dxa" w:w="2860"/>
            <w:tcBorders>
              <w:top w:val="single" w:color="ABB2B9" w:sz="1"/>
              <w:left w:val="single" w:color="ABB2B9" w:sz="1"/>
              <w:bottom w:val="single" w:color="ABB2B9" w:sz="1"/>
              <w:right w:val="single" w:color="ABB2B9" w:sz="1"/>
            </w:tcBorders>
            <w:shd w:fill="D5D8DC" w:val="clear"/>
            <w:tcMar>
              <w:top w:type="dxa" w:w="60"/>
              <w:left w:type="dxa" w:w="100"/>
              <w:bottom w:type="dxa" w:w="60"/>
              <w:right w:type="dxa" w:w="100"/>
            </w:tcMar>
          </w:tcPr>
          <w:p>
            <w:r>
              <w:rPr>
                <w:b/>
                <w:bCs/>
                <w:sz w:val="20"/>
                <w:szCs w:val="20"/>
              </w:rPr>
              <w:t xml:space="preserve">Key Sections</w:t>
            </w:r>
          </w:p>
        </w:tc>
      </w:tr>
      <w:tr>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Metformin</w:t>
            </w:r>
          </w:p>
        </w:tc>
        <w:tc>
          <w:tcPr>
            <w:tcW w:type="dxa" w:w="25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6"/>
                <w:szCs w:val="16"/>
              </w:rPr>
              <w:t xml:space="preserve">cf29e015-...</w:t>
            </w:r>
          </w:p>
        </w:tc>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Renal dosing</w:t>
            </w:r>
          </w:p>
        </w:tc>
        <w:tc>
          <w:tcPr>
            <w:tcW w:type="dxa" w:w="28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34068-7 (GFR tables)</w:t>
            </w:r>
          </w:p>
        </w:tc>
      </w:tr>
      <w:tr>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Lisinopril</w:t>
            </w:r>
          </w:p>
        </w:tc>
        <w:tc>
          <w:tcPr>
            <w:tcW w:type="dxa" w:w="25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6"/>
                <w:szCs w:val="16"/>
              </w:rPr>
              <w:t xml:space="preserve">1efe378e-...</w:t>
            </w:r>
          </w:p>
        </w:tc>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Renal + Pregnancy</w:t>
            </w:r>
          </w:p>
        </w:tc>
        <w:tc>
          <w:tcPr>
            <w:tcW w:type="dxa" w:w="28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34068-7, 34077-8</w:t>
            </w:r>
          </w:p>
        </w:tc>
      </w:tr>
      <w:tr>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Warfarin</w:t>
            </w:r>
          </w:p>
        </w:tc>
        <w:tc>
          <w:tcPr>
            <w:tcW w:type="dxa" w:w="25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6"/>
                <w:szCs w:val="16"/>
              </w:rPr>
              <w:t xml:space="preserve">fdbfe194-...</w:t>
            </w:r>
          </w:p>
        </w:tc>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DDI + Boxed Warning</w:t>
            </w:r>
          </w:p>
        </w:tc>
        <w:tc>
          <w:tcPr>
            <w:tcW w:type="dxa" w:w="28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34073-7, 34066-1</w:t>
            </w:r>
          </w:p>
        </w:tc>
      </w:tr>
      <w:tr>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Amiodarone</w:t>
            </w:r>
          </w:p>
        </w:tc>
        <w:tc>
          <w:tcPr>
            <w:tcW w:type="dxa" w:w="25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6"/>
                <w:szCs w:val="16"/>
              </w:rPr>
              <w:t xml:space="preserve">...</w:t>
            </w:r>
          </w:p>
        </w:tc>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QT + Hepatic</w:t>
            </w:r>
          </w:p>
        </w:tc>
        <w:tc>
          <w:tcPr>
            <w:tcW w:type="dxa" w:w="28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43685-7 (warnings)</w:t>
            </w:r>
          </w:p>
        </w:tc>
      </w:tr>
      <w:tr>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Gabapentin</w:t>
            </w:r>
          </w:p>
        </w:tc>
        <w:tc>
          <w:tcPr>
            <w:tcW w:type="dxa" w:w="25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16"/>
                <w:szCs w:val="16"/>
              </w:rPr>
              <w:t xml:space="preserve">...</w:t>
            </w:r>
          </w:p>
        </w:tc>
        <w:tc>
          <w:tcPr>
            <w:tcW w:type="dxa" w:w="2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Renal dosing tables</w:t>
            </w:r>
          </w:p>
        </w:tc>
        <w:tc>
          <w:tcPr>
            <w:tcW w:type="dxa" w:w="28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34068-7</w:t>
            </w:r>
          </w:p>
        </w:tc>
      </w:tr>
    </w:tbl>
    <w:p>
      <w:r>
        <w:br w:type="page"/>
      </w:r>
    </w:p>
    <w:p>
      <w:pPr>
        <w:pStyle w:val="Heading1"/>
        <w:spacing w:before="400" w:after="200"/>
      </w:pPr>
      <w:r>
        <w:rPr>
          <w:b/>
          <w:bCs/>
          <w:sz w:val="36"/>
          <w:szCs w:val="36"/>
        </w:rPr>
        <w:t xml:space="preserve">10. Deliverables &amp; Exit Criteria</w:t>
      </w:r>
    </w:p>
    <w:p>
      <w:pPr>
        <w:pStyle w:val="Heading2"/>
        <w:spacing w:before="300" w:after="150"/>
      </w:pPr>
      <w:r>
        <w:rPr>
          <w:b/>
          <w:bCs/>
          <w:sz w:val="30"/>
          <w:szCs w:val="30"/>
        </w:rPr>
        <w:t xml:space="preserve">10.1 Deliverables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400"/>
        <w:gridCol w:w="2360"/>
      </w:tblGrid>
      <w:tr>
        <w:tc>
          <w:tcPr>
            <w:tcW w:type="dxa" w:w="600"/>
            <w:tcBorders>
              <w:top w:val="single" w:color="ABB2B9" w:sz="1"/>
              <w:left w:val="single" w:color="ABB2B9" w:sz="1"/>
              <w:bottom w:val="single" w:color="ABB2B9" w:sz="1"/>
              <w:right w:val="single" w:color="ABB2B9" w:sz="1"/>
            </w:tcBorders>
            <w:shd w:fill="D5D8DC" w:val="clear"/>
            <w:tcMar>
              <w:top w:type="dxa" w:w="60"/>
              <w:left w:type="dxa" w:w="100"/>
              <w:bottom w:type="dxa" w:w="60"/>
              <w:right w:type="dxa" w:w="100"/>
            </w:tcMar>
          </w:tcPr>
          <w:p>
            <w:r>
              <w:rPr>
                <w:b/>
                <w:bCs/>
                <w:sz w:val="20"/>
                <w:szCs w:val="20"/>
              </w:rPr>
              <w:t xml:space="preserve">#</w:t>
            </w:r>
          </w:p>
        </w:tc>
        <w:tc>
          <w:tcPr>
            <w:tcW w:type="dxa" w:w="4000"/>
            <w:tcBorders>
              <w:top w:val="single" w:color="ABB2B9" w:sz="1"/>
              <w:left w:val="single" w:color="ABB2B9" w:sz="1"/>
              <w:bottom w:val="single" w:color="ABB2B9" w:sz="1"/>
              <w:right w:val="single" w:color="ABB2B9" w:sz="1"/>
            </w:tcBorders>
            <w:shd w:fill="D5D8DC" w:val="clear"/>
            <w:tcMar>
              <w:top w:type="dxa" w:w="60"/>
              <w:left w:type="dxa" w:w="100"/>
              <w:bottom w:type="dxa" w:w="60"/>
              <w:right w:type="dxa" w:w="100"/>
            </w:tcMar>
          </w:tcPr>
          <w:p>
            <w:r>
              <w:rPr>
                <w:b/>
                <w:bCs/>
                <w:sz w:val="20"/>
                <w:szCs w:val="20"/>
              </w:rPr>
              <w:t xml:space="preserve">Deliverable</w:t>
            </w:r>
          </w:p>
        </w:tc>
        <w:tc>
          <w:tcPr>
            <w:tcW w:type="dxa" w:w="2400"/>
            <w:tcBorders>
              <w:top w:val="single" w:color="ABB2B9" w:sz="1"/>
              <w:left w:val="single" w:color="ABB2B9" w:sz="1"/>
              <w:bottom w:val="single" w:color="ABB2B9" w:sz="1"/>
              <w:right w:val="single" w:color="ABB2B9" w:sz="1"/>
            </w:tcBorders>
            <w:shd w:fill="D5D8DC" w:val="clear"/>
            <w:tcMar>
              <w:top w:type="dxa" w:w="60"/>
              <w:left w:type="dxa" w:w="100"/>
              <w:bottom w:type="dxa" w:w="60"/>
              <w:right w:type="dxa" w:w="100"/>
            </w:tcMar>
          </w:tcPr>
          <w:p>
            <w:r>
              <w:rPr>
                <w:b/>
                <w:bCs/>
                <w:sz w:val="20"/>
                <w:szCs w:val="20"/>
              </w:rPr>
              <w:t xml:space="preserve">Acceptance Criteria</w:t>
            </w:r>
          </w:p>
        </w:tc>
        <w:tc>
          <w:tcPr>
            <w:tcW w:type="dxa" w:w="2360"/>
            <w:tcBorders>
              <w:top w:val="single" w:color="ABB2B9" w:sz="1"/>
              <w:left w:val="single" w:color="ABB2B9" w:sz="1"/>
              <w:bottom w:val="single" w:color="ABB2B9" w:sz="1"/>
              <w:right w:val="single" w:color="ABB2B9" w:sz="1"/>
            </w:tcBorders>
            <w:shd w:fill="D5D8DC" w:val="clear"/>
            <w:tcMar>
              <w:top w:type="dxa" w:w="60"/>
              <w:left w:type="dxa" w:w="100"/>
              <w:bottom w:type="dxa" w:w="60"/>
              <w:right w:type="dxa" w:w="100"/>
            </w:tcMar>
          </w:tcPr>
          <w:p>
            <w:r>
              <w:rPr>
                <w:b/>
                <w:bCs/>
                <w:sz w:val="20"/>
                <w:szCs w:val="20"/>
              </w:rPr>
              <w:t xml:space="preserve">Est. Effort</w:t>
            </w:r>
          </w:p>
        </w:tc>
      </w:tr>
      <w:tr>
        <w:tc>
          <w:tcPr>
            <w:tcW w:type="dxa" w:w="6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1</w:t>
            </w:r>
          </w:p>
        </w:tc>
        <w:tc>
          <w:tcPr>
            <w:tcW w:type="dxa" w:w="4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API Client with retry logic</w:t>
            </w:r>
          </w:p>
        </w:tc>
        <w:tc>
          <w:tcPr>
            <w:tcW w:type="dxa" w:w="24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Handles all error types</w:t>
            </w:r>
          </w:p>
        </w:tc>
        <w:tc>
          <w:tcPr>
            <w:tcW w:type="dxa" w:w="2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1 day</w:t>
            </w:r>
          </w:p>
        </w:tc>
      </w:tr>
      <w:tr>
        <w:tc>
          <w:tcPr>
            <w:tcW w:type="dxa" w:w="6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2</w:t>
            </w:r>
          </w:p>
        </w:tc>
        <w:tc>
          <w:tcPr>
            <w:tcW w:type="dxa" w:w="4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Bulk FTP Downloader</w:t>
            </w:r>
          </w:p>
        </w:tc>
        <w:tc>
          <w:tcPr>
            <w:tcW w:type="dxa" w:w="24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Downloads + extracts ZIPs</w:t>
            </w:r>
          </w:p>
        </w:tc>
        <w:tc>
          <w:tcPr>
            <w:tcW w:type="dxa" w:w="2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0.5 day</w:t>
            </w:r>
          </w:p>
        </w:tc>
      </w:tr>
      <w:tr>
        <w:tc>
          <w:tcPr>
            <w:tcW w:type="dxa" w:w="6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3</w:t>
            </w:r>
          </w:p>
        </w:tc>
        <w:tc>
          <w:tcPr>
            <w:tcW w:type="dxa" w:w="4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XML Parser (header + sections)</w:t>
            </w:r>
          </w:p>
        </w:tc>
        <w:tc>
          <w:tcPr>
            <w:tcW w:type="dxa" w:w="24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Parses all LOINC sections</w:t>
            </w:r>
          </w:p>
        </w:tc>
        <w:tc>
          <w:tcPr>
            <w:tcW w:type="dxa" w:w="2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1.5 days</w:t>
            </w:r>
          </w:p>
        </w:tc>
      </w:tr>
      <w:tr>
        <w:tc>
          <w:tcPr>
            <w:tcW w:type="dxa" w:w="6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4</w:t>
            </w:r>
          </w:p>
        </w:tc>
        <w:tc>
          <w:tcPr>
            <w:tcW w:type="dxa" w:w="4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Table Parser &amp; Classifier</w:t>
            </w:r>
          </w:p>
        </w:tc>
        <w:tc>
          <w:tcPr>
            <w:tcW w:type="dxa" w:w="24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Classifies GFR/DDI/PK tables</w:t>
            </w:r>
          </w:p>
        </w:tc>
        <w:tc>
          <w:tcPr>
            <w:tcW w:type="dxa" w:w="2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1 day</w:t>
            </w:r>
          </w:p>
        </w:tc>
      </w:tr>
      <w:tr>
        <w:tc>
          <w:tcPr>
            <w:tcW w:type="dxa" w:w="6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5</w:t>
            </w:r>
          </w:p>
        </w:tc>
        <w:tc>
          <w:tcPr>
            <w:tcW w:type="dxa" w:w="4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Section Router</w:t>
            </w:r>
          </w:p>
        </w:tc>
        <w:tc>
          <w:tcPr>
            <w:tcW w:type="dxa" w:w="24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LOINC → KB routing works</w:t>
            </w:r>
          </w:p>
        </w:tc>
        <w:tc>
          <w:tcPr>
            <w:tcW w:type="dxa" w:w="2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0.5 day</w:t>
            </w:r>
          </w:p>
        </w:tc>
      </w:tr>
      <w:tr>
        <w:tc>
          <w:tcPr>
            <w:tcW w:type="dxa" w:w="6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6</w:t>
            </w:r>
          </w:p>
        </w:tc>
        <w:tc>
          <w:tcPr>
            <w:tcW w:type="dxa" w:w="4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Storage Layer (Postgres + S3)</w:t>
            </w:r>
          </w:p>
        </w:tc>
        <w:tc>
          <w:tcPr>
            <w:tcW w:type="dxa" w:w="24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Stores documents &amp; sections</w:t>
            </w:r>
          </w:p>
        </w:tc>
        <w:tc>
          <w:tcPr>
            <w:tcW w:type="dxa" w:w="2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1 day</w:t>
            </w:r>
          </w:p>
        </w:tc>
      </w:tr>
      <w:tr>
        <w:tc>
          <w:tcPr>
            <w:tcW w:type="dxa" w:w="6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7</w:t>
            </w:r>
          </w:p>
        </w:tc>
        <w:tc>
          <w:tcPr>
            <w:tcW w:type="dxa" w:w="4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Delta Syncer</w:t>
            </w:r>
          </w:p>
        </w:tc>
        <w:tc>
          <w:tcPr>
            <w:tcW w:type="dxa" w:w="24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Fetches updates since last sync</w:t>
            </w:r>
          </w:p>
        </w:tc>
        <w:tc>
          <w:tcPr>
            <w:tcW w:type="dxa" w:w="2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0.5 day</w:t>
            </w:r>
          </w:p>
        </w:tc>
      </w:tr>
      <w:tr>
        <w:tc>
          <w:tcPr>
            <w:tcW w:type="dxa" w:w="6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8</w:t>
            </w:r>
          </w:p>
        </w:tc>
        <w:tc>
          <w:tcPr>
            <w:tcW w:type="dxa" w:w="40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Unit &amp; Fixture Tests</w:t>
            </w:r>
          </w:p>
        </w:tc>
        <w:tc>
          <w:tcPr>
            <w:tcW w:type="dxa" w:w="24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&gt;90% coverage, 50 fixtures</w:t>
            </w:r>
          </w:p>
        </w:tc>
        <w:tc>
          <w:tcPr>
            <w:tcW w:type="dxa" w:w="23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1 day</w:t>
            </w:r>
          </w:p>
        </w:tc>
      </w:tr>
    </w:tbl>
    <w:p>
      <w:pPr>
        <w:spacing w:before="50"/>
      </w:pPr>
      <w:r>
        <w:rPr>
          <w:b/>
          <w:bCs/>
          <w:sz w:val="20"/>
          <w:szCs w:val="20"/>
        </w:rPr>
        <w:t xml:space="preserve">Total Estimated Effort: 7 days (3.5 FTE days with parallel work)</w:t>
      </w:r>
    </w:p>
    <w:p>
      <w:pPr>
        <w:spacing w:before="300"/>
      </w:pPr>
    </w:p>
    <w:p>
      <w:pPr>
        <w:pStyle w:val="Heading2"/>
        <w:spacing w:before="300" w:after="150"/>
      </w:pPr>
      <w:r>
        <w:rPr>
          <w:b/>
          <w:bCs/>
          <w:sz w:val="30"/>
          <w:szCs w:val="30"/>
        </w:rPr>
        <w:t xml:space="preserve">10.2 Exit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8"/>
                <w:szCs w:val="28"/>
              </w:rPr>
              <w:t xml:space="preserve">☐</w:t>
            </w:r>
          </w:p>
        </w:tc>
        <w:tc>
          <w:tcPr>
            <w:tcW w:type="dxa" w:w="87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Can fetch SPL by SetID, RxCUI, or NDC</w:t>
            </w:r>
          </w:p>
        </w:tc>
      </w:tr>
      <w:tr>
        <w:tc>
          <w:tcPr>
            <w:tcW w:type="dxa" w:w="6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8"/>
                <w:szCs w:val="28"/>
              </w:rPr>
              <w:t xml:space="preserve">☐</w:t>
            </w:r>
          </w:p>
        </w:tc>
        <w:tc>
          <w:tcPr>
            <w:tcW w:type="dxa" w:w="87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Parses all 12 priority LOINC sections correctly</w:t>
            </w:r>
          </w:p>
        </w:tc>
      </w:tr>
      <w:tr>
        <w:tc>
          <w:tcPr>
            <w:tcW w:type="dxa" w:w="6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8"/>
                <w:szCs w:val="28"/>
              </w:rPr>
              <w:t xml:space="preserve">☐</w:t>
            </w:r>
          </w:p>
        </w:tc>
        <w:tc>
          <w:tcPr>
            <w:tcW w:type="dxa" w:w="87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Extracts tables and classifies type (GFR, DDI, PK, etc.)</w:t>
            </w:r>
          </w:p>
        </w:tc>
      </w:tr>
      <w:tr>
        <w:tc>
          <w:tcPr>
            <w:tcW w:type="dxa" w:w="6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8"/>
                <w:szCs w:val="28"/>
              </w:rPr>
              <w:t xml:space="preserve">☐</w:t>
            </w:r>
          </w:p>
        </w:tc>
        <w:tc>
          <w:tcPr>
            <w:tcW w:type="dxa" w:w="87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Routes sections to correct target KBs per Truth Manifest</w:t>
            </w:r>
          </w:p>
        </w:tc>
      </w:tr>
      <w:tr>
        <w:tc>
          <w:tcPr>
            <w:tcW w:type="dxa" w:w="6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8"/>
                <w:szCs w:val="28"/>
              </w:rPr>
              <w:t xml:space="preserve">☐</w:t>
            </w:r>
          </w:p>
        </w:tc>
        <w:tc>
          <w:tcPr>
            <w:tcW w:type="dxa" w:w="87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Stores documents in source_documents with SHA256 hash</w:t>
            </w:r>
          </w:p>
        </w:tc>
      </w:tr>
      <w:tr>
        <w:tc>
          <w:tcPr>
            <w:tcW w:type="dxa" w:w="6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8"/>
                <w:szCs w:val="28"/>
              </w:rPr>
              <w:t xml:space="preserve">☐</w:t>
            </w:r>
          </w:p>
        </w:tc>
        <w:tc>
          <w:tcPr>
            <w:tcW w:type="dxa" w:w="87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Stores sections in source_sections with LOINC code</w:t>
            </w:r>
          </w:p>
        </w:tc>
      </w:tr>
      <w:tr>
        <w:tc>
          <w:tcPr>
            <w:tcW w:type="dxa" w:w="6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8"/>
                <w:szCs w:val="28"/>
              </w:rPr>
              <w:t xml:space="preserve">☐</w:t>
            </w:r>
          </w:p>
        </w:tc>
        <w:tc>
          <w:tcPr>
            <w:tcW w:type="dxa" w:w="87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Delta sync fetches only changed documents since last sync</w:t>
            </w:r>
          </w:p>
        </w:tc>
      </w:tr>
      <w:tr>
        <w:tc>
          <w:tcPr>
            <w:tcW w:type="dxa" w:w="6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8"/>
                <w:szCs w:val="28"/>
              </w:rPr>
              <w:t xml:space="preserve">☐</w:t>
            </w:r>
          </w:p>
        </w:tc>
        <w:tc>
          <w:tcPr>
            <w:tcW w:type="dxa" w:w="87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All 50 fixture tests pass (metformin, lisinopril, warfarin, etc.)</w:t>
            </w:r>
          </w:p>
        </w:tc>
      </w:tr>
      <w:tr>
        <w:tc>
          <w:tcPr>
            <w:tcW w:type="dxa" w:w="6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8"/>
                <w:szCs w:val="28"/>
              </w:rPr>
              <w:t xml:space="preserve">☐</w:t>
            </w:r>
          </w:p>
        </w:tc>
        <w:tc>
          <w:tcPr>
            <w:tcW w:type="dxa" w:w="87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Error handling works for all error categories</w:t>
            </w:r>
          </w:p>
        </w:tc>
      </w:tr>
      <w:tr>
        <w:tc>
          <w:tcPr>
            <w:tcW w:type="dxa" w:w="60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8"/>
                <w:szCs w:val="28"/>
              </w:rPr>
              <w:t xml:space="preserve">☐</w:t>
            </w:r>
          </w:p>
        </w:tc>
        <w:tc>
          <w:tcPr>
            <w:tcW w:type="dxa" w:w="8760"/>
            <w:tcBorders>
              <w:top w:val="single" w:color="ABB2B9" w:sz="1"/>
              <w:left w:val="single" w:color="ABB2B9" w:sz="1"/>
              <w:bottom w:val="single" w:color="ABB2B9" w:sz="1"/>
              <w:right w:val="single" w:color="ABB2B9" w:sz="1"/>
            </w:tcBorders>
            <w:tcMar>
              <w:top w:type="dxa" w:w="60"/>
              <w:left w:type="dxa" w:w="100"/>
              <w:bottom w:type="dxa" w:w="60"/>
              <w:right w:type="dxa" w:w="100"/>
            </w:tcMar>
          </w:tcPr>
          <w:p>
            <w:r>
              <w:rPr>
                <w:sz w:val="20"/>
                <w:szCs w:val="20"/>
              </w:rPr>
              <w:t xml:space="preserve">Documentation complete (README, API docs)</w:t>
            </w:r>
          </w:p>
        </w:tc>
      </w:tr>
    </w:tbl>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ABB2B9" w:sz="1"/>
              <w:left w:val="single" w:color="ABB2B9" w:sz="1"/>
              <w:bottom w:val="single" w:color="ABB2B9" w:sz="1"/>
              <w:right w:val="single" w:color="ABB2B9" w:sz="1"/>
            </w:tcBorders>
            <w:shd w:fill="F4F6F7" w:val="clear"/>
            <w:tcMar>
              <w:top w:type="dxa" w:w="60"/>
              <w:left w:type="dxa" w:w="100"/>
              <w:bottom w:type="dxa" w:w="60"/>
              <w:right w:type="dxa" w:w="100"/>
            </w:tcMar>
          </w:tcPr>
          <w:p>
            <w:pPr>
              <w:spacing w:before="150" w:after="150"/>
              <w:jc w:val="center"/>
            </w:pPr>
            <w:r>
              <w:rPr>
                <w:b/>
                <w:bCs/>
                <w:color w:val="27AE60"/>
                <w:sz w:val="26"/>
                <w:szCs w:val="26"/>
              </w:rPr>
              <w:t xml:space="preserve">Ready for Phase 3b: Ground Truth Ingestion</w:t>
            </w:r>
          </w:p>
          <w:p>
            <w:pPr>
              <w:spacing w:after="150"/>
              <w:jc w:val="center"/>
            </w:pPr>
            <w:r>
              <w:rPr>
                <w:sz w:val="22"/>
                <w:szCs w:val="22"/>
              </w:rPr>
              <w:t xml:space="preserve">Once the SPL Fetcher is complete, sections are available for KB extractors to process.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Phase 3a: Foundation Infrastructure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DailyMed SPL Fetcher - Technical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30"/>
      <w:szCs w:val="30"/>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2026-01-24T09:39:31.956Z</dcterms:created>
  <dcterms:modified xsi:type="dcterms:W3CDTF">2026-01-24T09:39:31.956Z</dcterms:modified>
</cp:coreProperties>
</file>

<file path=docProps/custom.xml><?xml version="1.0" encoding="utf-8"?>
<Properties xmlns="http://schemas.openxmlformats.org/officeDocument/2006/custom-properties" xmlns:vt="http://schemas.openxmlformats.org/officeDocument/2006/docPropsVTypes"/>
</file>