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BFC9CA"/>
          <w:sz w:val="28"/>
          <w:szCs w:val="28"/>
        </w:rPr>
        <w:t xml:space="preserve">TECHNICAL DESIGN DOCUMENT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Phase 3b: Ground Truth Ingestion</w:t>
      </w:r>
    </w:p>
    <w:p>
      <w:pPr>
        <w:spacing w:before="20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Authority Routing &amp; Source-of-Truth Clients</w:t>
      </w:r>
    </w:p>
    <w:p>
      <w:pPr>
        <w:spacing w:before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B4F72"/>
                <w:sz w:val="24"/>
                <w:szCs w:val="24"/>
              </w:rPr>
              <w:t xml:space="preserve">"When authoritative sources exist, we ROUTE — we do not EXTRACT"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BFC9CA"/>
          <w:sz w:val="22"/>
          <w:szCs w:val="22"/>
        </w:rPr>
        <w:t xml:space="preserve">Component: shared/datasources/{authority}/</w:t>
      </w:r>
    </w:p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Vaidshala Clinical Reasoning Platform</w:t>
      </w:r>
    </w:p>
    <w:p>
      <w:pPr>
        <w:jc w:val="center"/>
      </w:pPr>
      <w:r>
        <w:rPr>
          <w:rFonts w:ascii="Arial" w:cs="Arial" w:eastAsia="Arial" w:hAnsi="Arial"/>
          <w:color w:val="BFC9CA"/>
          <w:sz w:val="20"/>
          <w:szCs w:val="20"/>
        </w:rPr>
        <w:t xml:space="preserve">Version 1.0  |  2026-01-24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pStyle w:val="Heading2"/>
        <w:spacing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3b implements the Ground Truth Ingestion layer — the mechanism by which Vaidshala connects to authoritative clinical knowledge sources to populate Knowledge Bases WITHOUT using LLM extraction.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1D" w:sz="8"/>
              <w:left w:val="single" w:color="1D6A1D" w:sz="8"/>
              <w:bottom w:val="single" w:color="1D6A1D" w:sz="8"/>
              <w:right w:val="single" w:color="1D6A1D" w:sz="8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1D"/>
                <w:sz w:val="24"/>
                <w:szCs w:val="24"/>
              </w:rPr>
              <w:t xml:space="preserve">AUTHORITY ROUTING PRINCIPLE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a curated, peer-reviewed authority exists for a fact type,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ROUTE to that authority — we do NOT extract from SPL prose.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SPL section is stored for audit, but the FACT comes from the authority.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1.2 Authority Routing Examples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500"/>
        <w:gridCol w:w="2460"/>
      </w:tblGrid>
      <w:t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 Section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LOINC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To</w:t>
            </w:r>
          </w:p>
        </w:tc>
        <w:tc>
          <w:tcPr>
            <w:tcW w:type="dxa" w:w="24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Not Extract?</w:t>
            </w:r>
          </w:p>
        </w:tc>
      </w:tr>
      <w:t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NURSING MOTHERS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34080-2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LactMed API → RID%</w:t>
            </w:r>
          </w:p>
        </w:tc>
        <w:tc>
          <w:tcPr>
            <w:tcW w:type="dxa" w:w="24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LactMed has curated RID%</w:t>
            </w:r>
          </w:p>
        </w:tc>
      </w:tr>
      <w:t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GERIATRIC USE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34082-8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OHDSI Beers/STOPP</w:t>
            </w:r>
          </w:p>
        </w:tc>
        <w:tc>
          <w:tcPr>
            <w:tcW w:type="dxa" w:w="24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AGS Beers is authoritative</w:t>
            </w:r>
          </w:p>
        </w:tc>
      </w:tr>
      <w:t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 PHARMACOLOGY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34090-1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DrugBank PK Data</w:t>
            </w:r>
          </w:p>
        </w:tc>
        <w:tc>
          <w:tcPr>
            <w:tcW w:type="dxa" w:w="24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DrugBank has structured PK</w:t>
            </w:r>
          </w:p>
        </w:tc>
      </w:tr>
      <w:t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(QT Risk implied)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43685-7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CredibleMeds API</w:t>
            </w:r>
          </w:p>
        </w:tc>
        <w:tc>
          <w:tcPr>
            <w:tcW w:type="dxa" w:w="24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CredibleMeds is QT standard</w:t>
            </w:r>
          </w:p>
        </w:tc>
      </w:tr>
      <w:t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(Hepatotoxicity implied)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43685-7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LiverTox XML</w:t>
            </w:r>
          </w:p>
        </w:tc>
        <w:tc>
          <w:tcPr>
            <w:tcW w:type="dxa" w:w="24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NIH LiverTox has scores</w:t>
            </w:r>
          </w:p>
        </w:tc>
      </w:tr>
      <w:tr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(PGx Dosing)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34068-7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CPIC API</w:t>
            </w:r>
          </w:p>
        </w:tc>
        <w:tc>
          <w:tcPr>
            <w:tcW w:type="dxa" w:w="24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CPIC guidelines are definitive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1.3 Expected Outcome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5A00" w:sz="8"/>
              <w:left w:val="single" w:color="B35A00" w:sz="8"/>
              <w:bottom w:val="single" w:color="B35A00" w:sz="8"/>
              <w:right w:val="single" w:color="B35A00" w:sz="8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5A00"/>
                <w:sz w:val="26"/>
                <w:szCs w:val="26"/>
              </w:rPr>
              <w:t xml:space="preserve">60-80% of KB-1 and KB-4 populated WITHOUT ANY LLM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extraction_method = 'AUTHORITY_LOOKUP' for all facts from these sources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Authority Clients Overview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2.1 Client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00"/>
        <w:gridCol w:w="1800"/>
        <w:gridCol w:w="2060"/>
      </w:tblGrid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 Types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KB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Method</w:t>
            </w:r>
          </w:p>
        </w:tc>
        <w:tc>
          <w:tcPr>
            <w:tcW w:type="dxa" w:w="20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Location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LactMed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Lactation safety, RID%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KB-4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XML download</w:t>
            </w:r>
          </w:p>
        </w:tc>
        <w:tc>
          <w:tcPr>
            <w:tcW w:type="dxa" w:w="20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datasources/lactmed/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CPIC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PGx gene-drug dosing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KB-1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(JSON)</w:t>
            </w:r>
          </w:p>
        </w:tc>
        <w:tc>
          <w:tcPr>
            <w:tcW w:type="dxa" w:w="20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datasources/cpic/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CredibleMeds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 prolongation risk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KB-4, KB-5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+ CSV</w:t>
            </w:r>
          </w:p>
        </w:tc>
        <w:tc>
          <w:tcPr>
            <w:tcW w:type="dxa" w:w="20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datasources/crediblemeds/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LiverTox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Hepatotoxicity severity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KB-4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XML download</w:t>
            </w:r>
          </w:p>
        </w:tc>
        <w:tc>
          <w:tcPr>
            <w:tcW w:type="dxa" w:w="20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datasources/livertox/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DrugBank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parameters, DDI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KB-1, KB-5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XML</w:t>
            </w:r>
          </w:p>
        </w:tc>
        <w:tc>
          <w:tcPr>
            <w:tcW w:type="dxa" w:w="20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datasources/drugbank/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OHDSI Beers/STOPP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Geriatric PIMs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KB-4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Concept Set API</w:t>
            </w:r>
          </w:p>
        </w:tc>
        <w:tc>
          <w:tcPr>
            <w:tcW w:type="dxa" w:w="20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datasources/ohdsi/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2.2 Common Interface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authority clients implement a common interface to ensure consistent behavior: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D6A1D"/>
                <w:sz w:val="18"/>
                <w:szCs w:val="18"/>
              </w:rPr>
              <w:t xml:space="preserve">// shared/datasources/interfaces.go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 AuthorityClient interface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GetFacts(ctx context.Context, rxcui string) ([]AuthorityFact, error)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GetFactsByName(ctx context.Context, name string) ([]AuthorityFact, error)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Sync(ctx context.Context) (*SyncResult, error)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Authority() AuthorityMetadata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LactMed Client (Lactation Safety)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3.1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LactMed (NIH/NLM Drugs and Lactation Database)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https://www.ncbi.nlm.nih.gov/books/NBK501922/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6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XML (NLM DTD) — bulk download available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SPL Section Routed</w:t>
            </w:r>
          </w:p>
        </w:tc>
        <w:tc>
          <w:tcPr>
            <w:tcW w:type="dxa" w:w="6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NURSING MOTHERS (LOINC 34080-2)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KB</w:t>
            </w:r>
          </w:p>
        </w:tc>
        <w:tc>
          <w:tcPr>
            <w:tcW w:type="dxa" w:w="6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KB-4 (Patient Safety)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Facts Extracted</w:t>
            </w:r>
          </w:p>
        </w:tc>
        <w:tc>
          <w:tcPr>
            <w:tcW w:type="dxa" w:w="6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Relative Infant Dose (RID%), lactation risk category, infant monitoring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3.2 Why Route to LactMed?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SPL "Nursing Mothers" sections contain prose like: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"Metformin is present in human milk at low concentrations. Published studies report that the relative infant dose of metformin ranged from 0.11% to 1% of the weight-adjusted maternal dose."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LactMed provides: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Structured RID% values (0.11-1.0%)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Categorical risk assessment (COMPATIBLE, USE WITH CAUTION, AVOID)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Specific infant monitoring recommendations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Literature citations with evidence grades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D6A1D"/>
                <w:sz w:val="20"/>
                <w:szCs w:val="20"/>
              </w:rPr>
              <w:t xml:space="preserve">→ LactMed is curated by NIH experts. We ROUTE, not extract.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3.3 LactMedFact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 LactMedFact struct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DrugName          string   `json:"drug_name"`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RxCUI             string   `json:"rxcui,omitempty"`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LactMedID         string   `json:"lactmed_id"`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RIDPercent        *float64 `json:"rid_percent"`       // Relative Infant Dose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RIDRange          *Range   `json:"rid_range"`         // Min-Max range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RiskCategory      string   `json:"risk_category"`     // COMPATIBLE, CAUTION, AVOID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InfantMonitoring  []string `json:"infant_monitoring"`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Summary           string   `json:"summary"`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LastRevised       string   `json:"last_revised"`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CPIC Client (Pharmacogenomics)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4.1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 Pharmacogenetics Implementation Consortium (CPIC)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URL</w:t>
            </w:r>
          </w:p>
        </w:tc>
        <w:tc>
          <w:tcPr>
            <w:tcW w:type="dxa" w:w="6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https://api.cpicpgx.org/v1/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6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(JSON)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SPL Section Routed</w:t>
            </w:r>
          </w:p>
        </w:tc>
        <w:tc>
          <w:tcPr>
            <w:tcW w:type="dxa" w:w="6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DOSAGE AND ADMINISTRATION (34068-7) when PGx-related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KB</w:t>
            </w:r>
          </w:p>
        </w:tc>
        <w:tc>
          <w:tcPr>
            <w:tcW w:type="dxa" w:w="6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KB-1 (Drug Dosing)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Facts</w:t>
            </w:r>
          </w:p>
        </w:tc>
        <w:tc>
          <w:tcPr>
            <w:tcW w:type="dxa" w:w="6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Gene-drug pairs, phenotype-based dosing, evidence level (A/B/C/D)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4.2 CPIC Evidence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evidence, prescribing action</w:t>
            </w:r>
          </w:p>
        </w:tc>
        <w:tc>
          <w:tcPr>
            <w:tcW w:type="dxa" w:w="4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apply dosing recommendation</w:t>
            </w:r>
          </w:p>
        </w:tc>
      </w:tr>
      <w:tr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A/B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Moderate-to-strong evidence</w:t>
            </w:r>
          </w:p>
        </w:tc>
        <w:tc>
          <w:tcPr>
            <w:tcW w:type="dxa" w:w="4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 apply dosing recommendation</w:t>
            </w:r>
          </w:p>
        </w:tc>
      </w:tr>
      <w:tr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evidence</w:t>
            </w:r>
          </w:p>
        </w:tc>
        <w:tc>
          <w:tcPr>
            <w:tcW w:type="dxa" w:w="4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Consider applying recommendation</w:t>
            </w:r>
          </w:p>
        </w:tc>
      </w:tr>
      <w:tr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 evidence</w:t>
            </w:r>
          </w:p>
        </w:tc>
        <w:tc>
          <w:tcPr>
            <w:tcW w:type="dxa" w:w="4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consideration</w:t>
            </w:r>
          </w:p>
        </w:tc>
      </w:tr>
      <w:tr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prescribing actions required</w:t>
            </w:r>
          </w:p>
        </w:tc>
        <w:tc>
          <w:tcPr>
            <w:tcW w:type="dxa" w:w="4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Informational 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CredibleMeds Client (QT Prolongation)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5.1 QT Risk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Action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Known Risk (KR)</w:t>
            </w:r>
          </w:p>
        </w:tc>
        <w:tc>
          <w:tcPr>
            <w:tcW w:type="dxa" w:w="4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Substantial evidence of QT prolongation + TdP risk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+ monitoring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Possible Risk (PR)</w:t>
            </w:r>
          </w:p>
        </w:tc>
        <w:tc>
          <w:tcPr>
            <w:tcW w:type="dxa" w:w="4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 prolongation, but insufficient TdP evidence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CAUTION + ECG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 Risk (CR)</w:t>
            </w:r>
          </w:p>
        </w:tc>
        <w:tc>
          <w:tcPr>
            <w:tcW w:type="dxa" w:w="4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TdP risk only under specific conditions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conditions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 Risk (SR)</w:t>
            </w:r>
          </w:p>
        </w:tc>
        <w:tc>
          <w:tcPr>
            <w:tcW w:type="dxa" w:w="4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TdP risk in specific patient populations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Population-specific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LiverTox Client (Hepatotoxicity)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6.1 LiverTox Likelihood Scores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800"/>
        <w:gridCol w:w="2360"/>
      </w:tblGrid>
      <w:tr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B3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B3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B3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B3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Well-known cause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&gt;50 cases, convincing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LFT monitoring</w:t>
            </w:r>
          </w:p>
        </w:tc>
      </w:tr>
      <w:tr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12-50 cases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high-risk</w:t>
            </w:r>
          </w:p>
        </w:tc>
      </w:tr>
      <w:tr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Probable cause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4-11 cases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Awareness</w:t>
            </w:r>
          </w:p>
        </w:tc>
      </w:tr>
      <w:tr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Possible cause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1-3 cases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Rare consideration</w:t>
            </w:r>
          </w:p>
        </w:tc>
      </w:tr>
      <w:tr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Unlikely cause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convincing cases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action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Authority Router Architecture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7.1 Routing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200"/>
        <w:gridCol w:w="1800"/>
        <w:gridCol w:w="1860"/>
      </w:tblGrid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LOINC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To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Extraction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LLM?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34080-2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NURSING MOTHERS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LactMed → RID%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NEVER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34082-8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GERIATRIC USE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OHDSI Beers/STOPP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NEVER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34090-1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 PHARM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DrugBank PK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43685-7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(QT mentions)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CredibleMeds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NEVER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43685-7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(Hepato mentions)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LiverTox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NEVER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34068-7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(PGx mentions)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CPIC API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NEVER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34068-7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(Renal tables)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 Tables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TABLE_PARSE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34068-7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(Renal prose)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 Text → LLM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LLM_CONSENSUS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GAP-FILL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Implementation Tasks (Weeks 9-10)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1000"/>
        <w:gridCol w:w="1000"/>
        <w:gridCol w:w="1860"/>
      </w:tblGrid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LactMed XML Ingestor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Lactation RID% → KB-4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datasources/lactmed/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CPIC API Client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PGx dosing → KB-1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datasources/cpic/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CredibleMeds Client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 risk → KB-4, KB-5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datasources/crediblemeds/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LiverTox XML Ingestor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Hepatotoxicity → KB-4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datasources/livertox/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DrugBank Loader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+ DDI → KB-1, KB-5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datasources/drugbank/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OHDSI Beers/STOPP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Geriatric PIMs → KB-4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datasources/ohdsi/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Authority Router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LOINC → Authority mapping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governance/routing/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RxCUI Resolver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Drug name → RxCUI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datasources/rxnorm/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 + Integration Tests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&gt;85% coverage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*_test.go files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Effort: 16 days (8 FTE days with parallel work)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Authority Coverage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&gt;60% of facts</w:t>
            </w:r>
          </w:p>
        </w:tc>
        <w:tc>
          <w:tcPr>
            <w:tcW w:type="dxa" w:w="4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extraction_method = 'AUTHORITY_LOOKUP'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LactMed Coverage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&gt;95% drugs</w:t>
            </w:r>
          </w:p>
        </w:tc>
        <w:tc>
          <w:tcPr>
            <w:tcW w:type="dxa" w:w="4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Drugs with lactation data have LactMed facts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CPIC Coverage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guidelines</w:t>
            </w:r>
          </w:p>
        </w:tc>
        <w:tc>
          <w:tcPr>
            <w:tcW w:type="dxa" w:w="4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CPIC gene-drug pairs ingested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 Risk Coverage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&gt;98% known</w:t>
            </w:r>
          </w:p>
        </w:tc>
        <w:tc>
          <w:tcPr>
            <w:tcW w:type="dxa" w:w="4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CredibleMeds KR/PR drugs have facts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LiverTox Coverage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&gt;90% A/B drugs</w:t>
            </w:r>
          </w:p>
        </w:tc>
        <w:tc>
          <w:tcPr>
            <w:tcW w:type="dxa" w:w="4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High-risk hepatotoxic drugs have facts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RxCUI Resolution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&gt;95% success</w:t>
            </w:r>
          </w:p>
        </w:tc>
        <w:tc>
          <w:tcPr>
            <w:tcW w:type="dxa" w:w="4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 facts linked to RxCUI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 Linkage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linked</w:t>
            </w:r>
          </w:p>
        </w:tc>
        <w:tc>
          <w:tcPr>
            <w:tcW w:type="dxa" w:w="4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 facts have linked_spl_section_id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Exit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LactMed client fetches and parses XML, extracts RID%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CPIC client fetches gene-drug pairs and dosing recommendations via REST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CredibleMeds client ingests QT risk categories (KR, PR, CR, SR)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LiverTox client parses hepatotoxicity likelihood scores (A-E)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DrugBank loader extracts PK parameters and DDI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OHDSI loader imports Beers/STOPP potentially inappropriate medication 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Authority Router correctly routes SPL sections to authority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RxCUI resolver maps drug names to RxCUI with &gt;95% success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authority facts stored with extraction_method = 'AUTHORITY_LOOKUP'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Authority facts linked to corresponding SPL sections (audit trail)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&gt;85% unit test coverage for all authority clients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1D" w:sz="12"/>
              <w:left w:val="single" w:color="1D6A1D" w:sz="12"/>
              <w:bottom w:val="single" w:color="1D6A1D" w:sz="12"/>
              <w:right w:val="single" w:color="1D6A1D" w:sz="12"/>
            </w:tcBorders>
            <w:shd w:fill="D5F5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1D"/>
                <w:sz w:val="26"/>
                <w:szCs w:val="26"/>
              </w:rPr>
              <w:t xml:space="preserve">Ready for Phase 3c: Consensus Grid &amp; Gap-Filling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With 60-80% of facts from authorities, LLM extraction is now a LAST RESORT for gaps only.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8"/>
              <w:left w:val="single" w:color="1B4F72" w:sz="8"/>
              <w:bottom w:val="single" w:color="1B4F72" w:sz="8"/>
              <w:right w:val="single" w:color="1B4F72" w:sz="8"/>
            </w:tcBorders>
            <w:shd w:fill="D6E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4F72"/>
                <w:sz w:val="26"/>
                <w:szCs w:val="26"/>
              </w:rPr>
              <w:t xml:space="preserve">"Freeze meaning. Fluidly replace intelligence."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Clinical facts are grounded in authoritative sources, not model inference.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LLMs can be swapped, upgraded, or removed — the truth remains stable.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FC9CA"/>
        <w:sz w:val="18"/>
        <w:szCs w:val="18"/>
      </w:rPr>
      <w:t xml:space="preserve">Vaidshala Clinical Reasoning Platform  |  Page </w:t>
    </w:r>
    <w:r>
      <w:rPr>
        <w:rFonts w:ascii="Arial" w:cs="Arial" w:eastAsia="Arial" w:hAnsi="Arial"/>
        <w:color w:val="BFC9C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BFC9CA"/>
        <w:sz w:val="18"/>
        <w:szCs w:val="18"/>
      </w:rPr>
      <w:t xml:space="preserve">Phase 3b: Ground Truth Ingestion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2026-01-24T17:57:15.762Z</dcterms:created>
  <dcterms:modified xsi:type="dcterms:W3CDTF">2026-01-24T17:57:15.763Z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