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BFC9CA"/>
          <w:sz w:val="28"/>
          <w:szCs w:val="28"/>
        </w:rPr>
        <w:t xml:space="preserve">DATA FLOW ARCHITECTURE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SPL → FactStore</w:t>
      </w:r>
    </w:p>
    <w:p>
      <w:pPr>
        <w:spacing w:before="15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Complete Data Journey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FC9CA"/>
          <w:sz w:val="22"/>
          <w:szCs w:val="22"/>
        </w:rPr>
        <w:t xml:space="preserve">From FDA DailyMed to Production Clinical Reasoning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Vaidshala Clinical Reasoning Platform</w:t>
      </w: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Phase 3 Architecture  |  2026-01-24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Complete Data Flow: SPL → FactStore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diagram shows the complete journey of clinical data from FDA DailyMed through extraction, governance, and into the production FactStore.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2"/>
              <w:left w:val="single" w:color="BFC9CA" w:sz="12"/>
              <w:bottom w:val="single" w:color="BFC9CA" w:sz="12"/>
              <w:right w:val="single" w:color="BFC9CA" w:sz="12"/>
            </w:tcBorders>
            <w:shd w:fill="BFC9C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0: EXTERNAL SOURCES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Raw clinical data from authoritative sources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FDA DailyMed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CPIC API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CredibleMeds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LiverTox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DrugBank</w:t>
            </w:r>
          </w:p>
        </w:tc>
      </w:tr>
      <w:tr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 (XML)
~150K drugs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
PGx dosing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
QT Risk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XML
Hepatotox</w:t>
            </w:r>
          </w:p>
        </w:tc>
        <w:tc>
          <w:tcPr>
            <w:tcW w:type="dxa" w:w="1872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
PK + DDI</w:t>
            </w:r>
          </w:p>
        </w:tc>
      </w:tr>
    </w:tbl>
    <w:p>
      <w:pPr>
        <w:spacing w:before="150" w:after="150"/>
        <w:jc w:val="center"/>
      </w:pPr>
      <w:r>
        <w:rPr>
          <w:rFonts w:ascii="Arial" w:cs="Arial" w:eastAsia="Arial" w:hAnsi="Arial"/>
          <w:color w:val="1B4F72"/>
          <w:sz w:val="32"/>
          <w:szCs w:val="32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2"/>
              <w:left w:val="single" w:color="1B4F72" w:sz="12"/>
              <w:bottom w:val="single" w:color="1B4F72" w:sz="12"/>
              <w:right w:val="single" w:color="1B4F72" w:sz="12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1: SOURCE DOCUMENT STORE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Table: source_documents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040"/>
        <w:gridCol w:w="2080"/>
        <w:gridCol w:w="1560"/>
        <w:gridCol w:w="1560"/>
      </w:tblGrid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set_id</w:t>
            </w:r>
          </w:p>
        </w:tc>
        <w:tc>
          <w:tcPr>
            <w:tcW w:type="dxa" w:w="10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20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raw_hash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source_type</w:t>
            </w:r>
          </w:p>
        </w:tc>
      </w:tr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cf29e015..</w:t>
            </w:r>
          </w:p>
        </w:tc>
        <w:tc>
          <w:tcPr>
            <w:tcW w:type="dxa" w:w="10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METFORMIN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sha256...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FDA_SPL</w:t>
            </w:r>
          </w:p>
        </w:tc>
      </w:tr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uuid-002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1efe378e..</w:t>
            </w:r>
          </w:p>
        </w:tc>
        <w:tc>
          <w:tcPr>
            <w:tcW w:type="dxa" w:w="10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LISINOPRIL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sha256...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FDA_SPL</w:t>
            </w:r>
          </w:p>
        </w:tc>
      </w:tr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uuid-003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0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0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CYP2D6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sha256...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CPIC</w:t>
            </w:r>
          </w:p>
        </w:tc>
      </w:tr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uuid-004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04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08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Amiodarone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sha256...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CREDIBLEMEDS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100"/>
      </w:pPr>
      <w:r>
        <w:rPr>
          <w:rFonts w:ascii="Arial" w:cs="Arial" w:eastAsia="Arial" w:hAnsi="Arial"/>
          <w:sz w:val="20"/>
          <w:szCs w:val="20"/>
        </w:rPr>
        <w:t xml:space="preserve">ONE ROW per source document (SPL, CPIC response, CredibleMeds entry,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Raw content stored in S3 (path in raw_xml_path column)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Hash ensures no duplicate processing</w:t>
      </w:r>
    </w:p>
    <w:p>
      <w:pPr>
        <w:spacing w:before="150" w:after="15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▼  Parse XML, extract LOINC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2"/>
              <w:left w:val="single" w:color="2E86AB" w:sz="12"/>
              <w:bottom w:val="single" w:color="2E86AB" w:sz="12"/>
              <w:right w:val="single" w:color="2E86AB" w:sz="12"/>
            </w:tcBorders>
            <w:shd w:fill="2E86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2: SOURCE SECTIONS STORE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Table: source_sections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60"/>
        <w:gridCol w:w="1300"/>
        <w:gridCol w:w="2600"/>
        <w:gridCol w:w="2600"/>
      </w:tblGrid>
      <w:tr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source_doc_id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loinc_code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section_title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2E86A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target_kbs</w:t>
            </w:r>
          </w:p>
        </w:tc>
      </w:tr>
      <w:tr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34066-1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BOXED WARNING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['KB-4']</w:t>
            </w:r>
          </w:p>
        </w:tc>
      </w:tr>
      <w:tr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sec-002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34068-7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DOSAGE &amp; ADMIN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['KB-1', 'KB-4']</w:t>
            </w:r>
          </w:p>
        </w:tc>
      </w:tr>
      <w:tr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sec-003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34073-7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DRUG INTERACTIONS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['KB-5']</w:t>
            </w:r>
          </w:p>
        </w:tc>
      </w:tr>
      <w:tr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sec-004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43685-7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WARNINGS &amp; PRECAUTIONS</w:t>
            </w:r>
          </w:p>
        </w:tc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['KB-4', 'KB-16']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target_kbs MEANS: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target_kbs = ['KB-1', 'KB-4'] means: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"This section contains information relevant to BOTH:"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KB-1 extractors (dosing rules) → will extract: GFR thresholds, doses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KB-4 extractors (safety alerts) → will extract: max dose warnings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It does NOT mean data is copied to two databases! It means TWO DIFFERENT EXTRACTORS will read this section.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2"/>
              <w:left w:val="single" w:color="6C3483" w:sz="12"/>
              <w:bottom w:val="single" w:color="6C3483" w:sz="12"/>
              <w:right w:val="single" w:color="6C3483" w:sz="12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3: EXTRACTION LAYER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Two paths: Authority Lookup OR LLM Extraction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6A1D" w:sz="6"/>
              <w:left w:val="single" w:color="1D6A1D" w:sz="6"/>
              <w:bottom w:val="single" w:color="1D6A1D" w:sz="6"/>
              <w:right w:val="single" w:color="1D6A1D" w:sz="6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2"/>
                <w:szCs w:val="22"/>
              </w:rPr>
              <w:t xml:space="preserve">AUTHORITY PATH (60-80%)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fact types with definitive authorities: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QT Risk → CredibleMeds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PGx Dosing → CPIC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Hepatotox → LiverTox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Lactation → LactMed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PK params → DrugBank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1D6A1D"/>
                <w:sz w:val="18"/>
                <w:szCs w:val="18"/>
              </w:rPr>
              <w:t xml:space="preserve">extraction_method = 'AUTHORITY_LOOKUP'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❌ NO LLM EVER for these facts!</w:t>
            </w:r>
          </w:p>
        </w:tc>
        <w:tc>
          <w:tcPr>
            <w:tcW w:type="dxa" w:w="4680"/>
            <w:tcBorders>
              <w:top w:val="single" w:color="B35A00" w:sz="6"/>
              <w:left w:val="single" w:color="B35A00" w:sz="6"/>
              <w:bottom w:val="single" w:color="B35A00" w:sz="6"/>
              <w:right w:val="single" w:color="B35A00" w:sz="6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2"/>
                <w:szCs w:val="22"/>
              </w:rPr>
              <w:t xml:space="preserve">EXTRACTION PATH (20-40%)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Pre-LLM Checks (Symbolic First):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Has structured table? → Parse 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Has clear numbers? → Regex 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Prose only? → LLM extraction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Consensus Engine: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Claude + GPT-4 + Local LLM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2-of-3 must agree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Mismatch → Human Review Queue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extraction_method = 'TABLE_PARSE' | 'REGEX_PARSE' | 'LLM_CONSENSUS'</w:t>
            </w:r>
          </w:p>
        </w:tc>
      </w:tr>
    </w:tbl>
    <w:p>
      <w:pPr>
        <w:spacing w:before="150" w:after="15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▼  All extracted facts go to derived_facts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7F32" w:sz="12"/>
              <w:left w:val="single" w:color="CD7F32" w:sz="12"/>
              <w:bottom w:val="single" w:color="CD7F32" w:sz="12"/>
              <w:right w:val="single" w:color="CD7F32" w:sz="12"/>
            </w:tcBorders>
            <w:shd w:fill="CD7F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4: DERIVED FACTS STORE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Table: derived_facts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100"/>
        <w:gridCol w:w="1860"/>
        <w:gridCol w:w="2400"/>
      </w:tblGrid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CD7F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CD7F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source_doc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CD7F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source_sec</w:t>
            </w:r>
          </w:p>
        </w:tc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CD7F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target_kb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CD7F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fact_type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CD7F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extraction_method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fact-001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sec-002</w:t>
            </w:r>
          </w:p>
        </w:tc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KB-1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RENAL_DOSE_ADJ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TABLE_PARSE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fact-002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sec-002</w:t>
            </w:r>
          </w:p>
        </w:tc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KB-1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HEPATIC_DOSE_ADJ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LLM_CONSENSUS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fact-003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uuid-001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sec-002</w:t>
            </w:r>
          </w:p>
        </w:tc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KB-4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MAX_DOSE_WARN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REGEX_PARSE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fact-004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uuid-003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KB-1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PGX_DOSE_ADJ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AUTHORITY_LOOKUP ← CPIC</w:t>
            </w:r>
          </w:p>
        </w:tc>
      </w:tr>
      <w:tr>
        <w:tc>
          <w:tcPr>
            <w:tcW w:type="dxa" w:w="1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fact-005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uuid-004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1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KB-4</w:t>
            </w:r>
          </w:p>
        </w:tc>
        <w:tc>
          <w:tcPr>
            <w:tcW w:type="dxa" w:w="1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QT_RISK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AUTHORITY_LOOKUP ← CredibleMeds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D7F32" w:sz="4"/>
              <w:left w:val="single" w:color="CD7F32" w:sz="4"/>
              <w:bottom w:val="single" w:color="CD7F32" w:sz="4"/>
              <w:right w:val="single" w:color="CD7F32" w:sz="4"/>
            </w:tcBorders>
            <w:shd w:fill="F5DEB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EXAMPLE: One section produces MULTIPLE facts for DIFFERENT KBs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Section: DOSAGE AND ADMINISTRATION (34068-7) for Metformin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"For CrCl 30-45: 500mg daily" → fact-001: KB-1, RENAL_DOSE_ADJ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"For Child-Pugh B: reduce 50%" → fact-002: KB-1, HEPATIC_DOSE_ADJ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"Maximum daily dose: 2550mg" → fact-003: KB-4, MAX_DOSE_WARNING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Same section → Multiple facts → Different KBs → All share source lineage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12"/>
              <w:left w:val="single" w:color="922B21" w:sz="12"/>
              <w:bottom w:val="single" w:color="922B21" w:sz="12"/>
              <w:right w:val="single" w:color="922B21" w:sz="12"/>
            </w:tcBorders>
            <w:shd w:fill="922B2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5: KB-0 GOVERNANCE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6-Gate Quality Pipeline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0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2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3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4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5</w:t>
            </w:r>
          </w:p>
        </w:tc>
      </w:tr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
Validation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Ontology
Check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Logic
Consistency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Citation
Present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Anti-Halluc
NeMo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Expert
Review</w:t>
            </w:r>
          </w:p>
        </w:tc>
      </w:tr>
      <w:tr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Pydantic
100%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RxNorm
exists?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Logical
check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Source
quote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JSON ⊆
text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Human
approval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Governance Status Transitions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BFC9CA"/>
                <w:sz w:val="22"/>
                <w:szCs w:val="22"/>
              </w:rPr>
              <w:t xml:space="preserve">DRAFT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B35A00"/>
                <w:sz w:val="22"/>
                <w:szCs w:val="22"/>
              </w:rPr>
              <w:t xml:space="preserve">REVIEW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APPROVED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D6A1D"/>
                <w:sz w:val="22"/>
                <w:szCs w:val="22"/>
              </w:rPr>
              <w:t xml:space="preserve">ACTIVE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Projected to FactStore</w:t>
            </w:r>
          </w:p>
        </w:tc>
      </w:tr>
    </w:tbl>
    <w:p>
      <w:pPr>
        <w:spacing w:before="150" w:after="150"/>
        <w:jc w:val="center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▼  governance_status = 'ACTIVE'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12"/>
              <w:left w:val="single" w:color="1D6A1D" w:sz="12"/>
              <w:bottom w:val="single" w:color="1D6A1D" w:sz="12"/>
              <w:right w:val="single" w:color="1D6A1D" w:sz="12"/>
            </w:tcBorders>
            <w:shd w:fill="1D6A1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LAYER 6: FACTSTORE (PRODUCTION)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Your existing FactStore implementation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 Dosing Rules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From KB-1 facts</w:t>
            </w:r>
          </w:p>
        </w:tc>
        <w:tc>
          <w:tcPr>
            <w:tcW w:type="dxa" w:w="312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Alerts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From KB-4 facts</w:t>
            </w:r>
          </w:p>
        </w:tc>
        <w:tc>
          <w:tcPr>
            <w:tcW w:type="dxa" w:w="312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DDI Rules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FC9CA"/>
                <w:sz w:val="18"/>
                <w:szCs w:val="18"/>
              </w:rPr>
              <w:t xml:space="preserve">From KB-5 facts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4"/>
              <w:left w:val="single" w:color="1D6A1D" w:sz="4"/>
              <w:bottom w:val="single" w:color="1D6A1D" w:sz="4"/>
              <w:right w:val="single" w:color="1D6A1D" w:sz="4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FactStore is a UNIFIED store.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doesn't have "KB-1 section" and "KB-4 section". The KB designation is metadata for: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Audit trail (which domain owns the fact)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Governance (which workflow approved it)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Extraction (which extractor created it)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Key Insight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12"/>
              <w:left w:val="single" w:color="B35A00" w:sz="12"/>
              <w:bottom w:val="single" w:color="B35A00" w:sz="12"/>
              <w:right w:val="single" w:color="B35A00" w:sz="12"/>
            </w:tcBorders>
            <w:shd w:fill="FDEBD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6"/>
                <w:szCs w:val="26"/>
              </w:rPr>
              <w:t xml:space="preserve">"KB-1", "KB-4", "KB-5" are NOT separate databases.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SEMANTIC DOMAINS that define: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Which EXTRACTOR processes the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Which GOVERNANCE WORKFLOW approves 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Which AUDIT TRAIL owns it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All facts ultimately live in ONE production FactStore.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Simplified Flow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3560"/>
        <w:gridCol w:w="600"/>
        <w:gridCol w:w="2000"/>
      </w:tblGrid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DailyMed, CPIC,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CredibleMeds,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LiverTox, DrugBank</w:t>
            </w:r>
          </w:p>
        </w:tc>
        <w:tc>
          <w:tcPr>
            <w:tcW w:type="dxa" w:w="600"/>
            <w:tcBorders>
              <w:top w:val="none"/>
              <w:left w:val="single" w:color="BFC9CA" w:sz="1"/>
              <w:bottom w:val="none"/>
              <w:right w:val="single" w:color="BFC9CA" w:sz="1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B4F72"/>
                <w:sz w:val="28"/>
                <w:szCs w:val="28"/>
              </w:rPr>
              <w:t xml:space="preserve">→</w:t>
            </w:r>
          </w:p>
        </w:tc>
        <w:tc>
          <w:tcPr>
            <w:tcW w:type="dxa" w:w="35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UNIFIED STORAGE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source_documents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source_sections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derived_facts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(with KB tags for routing)</w:t>
            </w:r>
          </w:p>
        </w:tc>
        <w:tc>
          <w:tcPr>
            <w:tcW w:type="dxa" w:w="600"/>
            <w:tcBorders>
              <w:top w:val="none"/>
              <w:left w:val="single" w:color="BFC9CA" w:sz="1"/>
              <w:bottom w:val="none"/>
              <w:right w:val="single" w:color="BFC9CA" w:sz="1"/>
            </w:tcBorders>
            <w:shd w:fill="FFFFFF" w:val="clea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D6A1D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1D6A1D" w:sz="4"/>
              <w:left w:val="single" w:color="1D6A1D" w:sz="4"/>
              <w:bottom w:val="single" w:color="1D6A1D" w:sz="4"/>
              <w:right w:val="single" w:color="1D6A1D" w:sz="4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(Queryable)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12"/>
              <w:left w:val="single" w:color="1D6A1D" w:sz="12"/>
              <w:bottom w:val="single" w:color="1D6A1D" w:sz="12"/>
              <w:right w:val="single" w:color="1D6A1D" w:sz="12"/>
            </w:tcBorders>
            <w:shd w:fill="D5F5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6"/>
                <w:szCs w:val="26"/>
              </w:rPr>
              <w:t xml:space="preserve">THE BOTTOM LINE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KB-1, KB-4, KB-5 are not separate databases.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are semantic domains for routing, governance, and audit.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data flows through unified tables to ONE FactStore.</w:t>
            </w:r>
          </w:p>
          <w:p>
            <w:pPr>
              <w:spacing w:before="1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SPL → source_documents → source_sections → derived_facts → FactStore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FC9CA"/>
        <w:sz w:val="18"/>
        <w:szCs w:val="18"/>
      </w:rPr>
      <w:t xml:space="preserve">Vaidshala Clinical Reasoning Platform  |  Page </w:t>
    </w:r>
    <w:r>
      <w:rPr>
        <w:rFonts w:ascii="Arial" w:cs="Arial" w:eastAsia="Arial" w:hAnsi="Arial"/>
        <w:color w:val="BFC9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FC9CA"/>
        <w:sz w:val="18"/>
        <w:szCs w:val="18"/>
      </w:rPr>
      <w:t xml:space="preserve">SPL → FactStore Data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2026-01-25T01:53:33.348Z</dcterms:created>
  <dcterms:modified xsi:type="dcterms:W3CDTF">2026-01-25T01:53:33.349Z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