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36"/>
          <w:szCs w:val="36"/>
        </w:rPr>
        <w:t xml:space="preserve">VAIDSHALA HPI NODE LIBRARY</w:t>
      </w:r>
    </w:p>
    <w:p>
      <w:pPr>
        <w:spacing w:after="60"/>
      </w:pPr>
      <w:r>
        <w:rPr>
          <w:rFonts w:ascii="Arial" w:cs="Arial" w:eastAsia="Arial" w:hAnsi="Arial"/>
          <w:b/>
          <w:bCs/>
          <w:color w:val="1B3A5C"/>
          <w:sz w:val="30"/>
          <w:szCs w:val="30"/>
        </w:rPr>
        <w:t xml:space="preserve">GAP ANALYSIS: P1–P2 LESSONS → P3–P7 BUILD PLAN</w:t>
      </w:r>
    </w:p>
    <w:p>
      <w:pPr>
        <w:spacing w:after="60"/>
      </w:pPr>
      <w:r>
        <w:rPr>
          <w:rFonts w:ascii="Arial" w:cs="Arial" w:eastAsia="Arial" w:hAnsi="Arial"/>
          <w:color w:val="555555"/>
          <w:sz w:val="24"/>
          <w:szCs w:val="24"/>
        </w:rPr>
        <w:t xml:space="preserve">Systematic Gap Register + Dependency Map + Harvest Requirements</w:t>
      </w:r>
    </w:p>
    <w:p>
      <w:pPr>
        <w:spacing w:after="200"/>
      </w:pPr>
      <w:r>
        <w:rPr>
          <w:rFonts w:ascii="Arial" w:cs="Arial" w:eastAsia="Arial" w:hAnsi="Arial"/>
          <w:color w:val="888888"/>
          <w:sz w:val="20"/>
          <w:szCs w:val="20"/>
        </w:rPr>
        <w:t xml:space="preserve">March 2026  |  Derived from P1 Chest Pain V2 + P2 Acute Dyspnea V1 + Pipeline V4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EEF4FA" w:val="clear"/>
            <w:tcMar>
              <w:top w:type="dxa" w:w="100"/>
              <w:left w:type="dxa" w:w="200"/>
              <w:bottom w:type="dxa" w:w="100"/>
              <w:right w:type="dxa" w:w="200"/>
            </w:tcMar>
          </w:tcPr>
          <w:p>
            <w:r>
              <w:rPr>
                <w:rFonts w:ascii="Arial" w:cs="Arial" w:eastAsia="Arial" w:hAnsi="Arial"/>
                <w:color w:val="1B3A5C"/>
                <w:sz w:val="20"/>
                <w:szCs w:val="20"/>
              </w:rPr>
              <w:t xml:space="preserve">PURPOSE: This document catalogues every gap discovered during P1 and P2 node construction, categorises each gap by type (Architectural / Evidence / Pipeline / Infrastructure / Calibration), traces which future nodes (P3–P7) each gap blocks, and specifies what must be resolved before each node can enter clinical authoring. It is the dependency map for the remaining five nodes and the cross-node infrastructure they require.</w:t>
            </w:r>
          </w:p>
        </w:tc>
      </w:tr>
    </w:tbl>
    <w:p/>
    <w:p>
      <w:pPr>
        <w:pStyle w:val="Heading1"/>
        <w:spacing w:before="300" w:after="150"/>
      </w:pPr>
      <w:r>
        <w:rPr>
          <w:rFonts w:ascii="Arial" w:cs="Arial" w:eastAsia="Arial" w:hAnsi="Arial"/>
        </w:rPr>
        <w:t xml:space="preserve">1. Executive Summary: What P1 + P2 Revealed</w:t>
      </w:r>
    </w:p>
    <w:p>
      <w:pPr>
        <w:spacing w:after="120" w:before="0"/>
      </w:pPr>
      <w:r>
        <w:rPr>
          <w:rFonts w:ascii="Arial" w:cs="Arial" w:eastAsia="Arial" w:hAnsi="Arial"/>
          <w:b w:val="false"/>
          <w:bCs w:val="false"/>
          <w:i w:val="false"/>
          <w:iCs w:val="false"/>
          <w:color w:val="000000"/>
          <w:sz w:val="22"/>
          <w:szCs w:val="22"/>
        </w:rPr>
        <w:t xml:space="preserve">Building P1 (Chest Pain) and P2 (Dyspnea) surfaced 27 distinct gaps across five categories. Of these, 8 are blocking gaps that must be resolved before any P3–P7 node enters clinical authoring, 11 are per-node gaps that block specific nodes, and 8 are infrastructure gaps that degrade quality but don't block launch.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2800"/>
        <w:gridCol w:w="2400"/>
        <w:gridCol w:w="368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Category</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Blocking P3–P7?</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Timeline</w:t>
            </w:r>
          </w:p>
        </w:tc>
      </w:tr>
      <w:tr>
        <w:tc>
          <w:tcPr>
            <w:tcW w:type="dxa" w:w="4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A. Architectural Patterns Not Yet Generalised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 — 3 of 6 block all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HPI Engine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resolve before P3 enters authoring</w:t>
            </w:r>
          </w:p>
        </w:tc>
      </w:tr>
      <w:tr>
        <w:tc>
          <w:tcPr>
            <w:tcW w:type="dxa" w:w="4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 Cross-Node Infrastructure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 — 2 block multi-node interactions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KB-19 / KB-22 Engineering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resolve before P4 (first node needing cross-node with P2)</w:t>
            </w:r>
          </w:p>
        </w:tc>
      </w:tr>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C. Per-Node Evidence Harvest Gaps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Each blocks its specific 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Authoring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Resolved during each node's harvest phase</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D. Pipeline Dependencies Unresolved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block all nodes; 3 block specific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Pipeline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Tracks 1–2 of Pipeline V4 Plan</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E. Calibration Infrastructure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Don't block launch but block post-deployment calibration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Engineering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resolve before N=200 calibration pass</w:t>
            </w:r>
          </w:p>
        </w:tc>
      </w:tr>
    </w:tbl>
    <w:p>
      <w:r>
        <w:br w:type="page"/>
      </w:r>
    </w:p>
    <w:p>
      <w:pPr>
        <w:pStyle w:val="Heading1"/>
        <w:spacing w:before="300" w:after="150"/>
      </w:pPr>
      <w:r>
        <w:rPr>
          <w:rFonts w:ascii="Arial" w:cs="Arial" w:eastAsia="Arial" w:hAnsi="Arial"/>
        </w:rPr>
        <w:t xml:space="preserve">2. Category A: Architectural Patterns Not Yet Generalised</w:t>
      </w:r>
    </w:p>
    <w:p>
      <w:pPr>
        <w:spacing w:after="120" w:before="0"/>
      </w:pPr>
      <w:r>
        <w:rPr>
          <w:rFonts w:ascii="Arial" w:cs="Arial" w:eastAsia="Arial" w:hAnsi="Arial"/>
          <w:b w:val="false"/>
          <w:bCs w:val="false"/>
          <w:i w:val="false"/>
          <w:iCs w:val="false"/>
          <w:color w:val="000000"/>
          <w:sz w:val="22"/>
          <w:szCs w:val="22"/>
        </w:rPr>
        <w:t xml:space="preserve">These are patterns that P1 and P2 implement differently or that P2 introduced but haven't been formalised into a reusable specification that P3–P7 authors can follow without re-inventing.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400"/>
        <w:gridCol w:w="3200"/>
        <w:gridCol w:w="3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Discovered In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P3–P7</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Required</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Stratum-vs-Modifier Decision Framework not codified. P2 introduced the test ('Does the condition change diagnostic value of questions, or only prior probability?') but this test exists only in P2's Section 13.1 prose. No formal decision tree exists for P3–P7 authors to apply.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Dyspnea §13.1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(Pedal Oedema) definitely needs strata (CKD changes oedema interpretation). P4–P7 authors will make ad-hoc decisions without a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a 1-page Stratum Decision Tree: flowchart with 4 binary questions that outputs STRATUM or MODIFIER. Embed in Canon Framework as mandatory pre-authoring step.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Parameterised Strata YAML Schema not formalised. P2 demonstrates 3-column prior tables and stratum-conditional LR notes, but the YAML schema spec (field names, data types, validation rules) doesn't exist. Each node would invent its own format.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Dyspnea §2.2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needs this immediately (CKD stratum). P7 (GI) might need it (CKD changes gastroparesis interpretation via uremic neuropathy).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 parameterised_strata_schema.yaml with: strata_definitions[], prior_tables{stratum: {dx: prior}}, lr_overrides{stratum: {question: {dx: lr}}}, stratum_activation_rules[]. Validate against P2's existing structure.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possibly P7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Floor Specification Pattern inconsistent between P1 and P2. P1 has a single safety floor table (one row per diagnosis). P2 has stratum-specific floors (3 columns). No specification says when to use which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§6 vs P2 §9.1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future node must decide: single floor or stratum-specific? Without spec, some nodes will have single floors when they need stratum-specific 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Extend the Stratum Decision Tree (A01): if node uses strata, safety floors MUST be stratum-specific. If single-stratum, single floor row. Add to Canon Framework checklist.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Question Ordering Re-Ranking by Stratum not implemented in engine. P2 documents that CKD+HF stratum should ask DQ04/DQ11 early instead of DQ01/DQ02, but the KB-22 engine has no mechanism to re-order questions by stratum. Currently it's a clinical authoring note, not an engine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Dyspnea §5 (stratum note)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needs this (CCB-induced oedema vs HF oedema — question priority changes in CKD stratum). Any stratified node benefits.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engine spec must support question_priority_override{stratum: [ordered_question_ids]}. Engine sorts by information gain within stratum-specific priority tiers.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all stratified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Confidence Threshold Calibration per Node not standardised. P1 uses 0.65 top-1 threshold. P2 uses 0.60 (justified by more overlapping differentials). No formula or guideline exists for setting this per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§6 vs P2 §9.2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Each P3–P7 author will pick an arbitrary threshold. This affects closure rate and clinical safety.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Define threshold-setting guideline: base threshold = 0.65 minus 0.025 per additional differential beyond 8 (to a floor of 0.50). Document in Canon Framework. Calibrate after N=200.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 concern for ALL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Pertinent Negative Reliability Modifiers not formalised. P2 notes that orthopnea absence is LESS reliable in DM patients with autonomic neuropathy (LR- shifts from 0.65 toward 1.0). P1 doesn't capture this concept. Pertinent negatives need a reliability_modifier field that adjusts LR- based on patient characteristics.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Dyspnea §8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(Numbness-Tingling) critically affected: absence of symptoms in diabetic neuropathy doesn't rule out neuropathy because of sensory loss. P4 (Fatigue) affected: depression screening negatives are less reliable in elderly Indian males (cultural stoicism).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reliability_modifier{condition: adjustment} to pertinent negative schema. Conditions include: autonomic_neuropathy, cultural_stoicism, cognitive_impairment, language_barrier.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(critical), P4, P7</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BLOCKING RESOLUTION ORDER: A01 (Stratum Decision Tree) must be resolved first because it determines whether A02 (strata schema) and A03 (stratum-specific floors) apply to each node. Target: resolve A01 before P3 clinical authoring begins.</w:t>
            </w:r>
          </w:p>
        </w:tc>
      </w:tr>
    </w:tbl>
    <w:p>
      <w:r>
        <w:br w:type="page"/>
      </w:r>
    </w:p>
    <w:p>
      <w:pPr>
        <w:pStyle w:val="Heading1"/>
        <w:spacing w:before="300" w:after="150"/>
      </w:pPr>
      <w:r>
        <w:rPr>
          <w:rFonts w:ascii="Arial" w:cs="Arial" w:eastAsia="Arial" w:hAnsi="Arial"/>
        </w:rPr>
        <w:t xml:space="preserve">3. Category B: Cross-Node Infrastructure Missing</w:t>
      </w:r>
    </w:p>
    <w:p>
      <w:pPr>
        <w:spacing w:after="120" w:before="0"/>
      </w:pPr>
      <w:r>
        <w:rPr>
          <w:rFonts w:ascii="Arial" w:cs="Arial" w:eastAsia="Arial" w:hAnsi="Arial"/>
          <w:b w:val="false"/>
          <w:bCs w:val="false"/>
          <w:i w:val="false"/>
          <w:iCs w:val="false"/>
          <w:color w:val="000000"/>
          <w:sz w:val="22"/>
          <w:szCs w:val="22"/>
        </w:rPr>
        <w:t xml:space="preserve">P1 and P2 interact via RF06 (chest pain + dyspnea cross-node safety protocol) and share 5 context modifiers. But the infrastructure supporting multi-node operation doesn't exist yet.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400"/>
        <w:gridCol w:w="3200"/>
        <w:gridCol w:w="3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P3–P7</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Required</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Shared Context Modifier Registry doesn't exist. P2 Section 13.2 documents 5 shared CMs between P1 and P2. These are documented in prose within P2's DOCX, not in a queryable registry. When P3 adds CCB-induced oedema as a CM, there's no way to check if that CM already exists in another node or if the logic conflicts.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Prose in P2 §13.2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will share at least 3 CMs with P2 (eGFR threshold, diuretic adherence, SGLT2i DKA). P7 will share metformin GI CMs with P4's fatigue-from-GI-distress pathway. Without a registry, CMs will be duplicated with inconsistent logic.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shared_cm_registry.yaml: each CM has a canonical ID, trigger condition, effect specification, list of consuming nodes, and version. When any node adds a CM, check registry first. KB-19 Protocol Orchestrator hosts this at runtime.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(immediate), all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Safety Protocol Engine doesn't exist. P2's RF06 triggers concurrent CHEST_PAIN_V2 + DYSPNEA_V1 activation with ACS floor escalation. This logic is documented but not implemented. KB-19 has no protocol for: (a) activating a second node mid-interaction, (b) propagating safety floor changes between active nodes, (c) merging outputs from concurrent nodes into a single clinician HPI.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Documented in P2 RF06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(Pedal Oedema) + P2 (Dyspnea) need cross-activation: bilateral oedema + dyspnea together = HF signal stronger than either alone. P4 (Fatigue) + P2 (Dyspnea) + P5 (Numbness-Tingling) = potential diabetic cardiomyopathy pattern requiring three-node concurrent evaluation.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KB-19 Cross-Node Protocol Spec: (1) node_activation_trigger schema, (2) safety_floor_propagation rules, (3) concurrent_output_merger that produces unified clinician HPI from multiple active nodes. Minimum viable: two-node concurrent (P1+P2 already designed). Three-node concurrent deferred to Phase 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(needs two-node), P4 (needs three-node eventually)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Medication List Integration not tested end-to-end. Every CM in every node fires based on patient's active medication list from KB-1/KB-20. But no smoke test has verified that KB-20 query returns med_class in the format CMs expect. If KB-20 returns 'Enalapril' but CM01 checks med_class='ACEi', the CM never fires.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Assumed working; never tested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 depend on this. Every CM is dead code until this path works.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 test: synthetic patient on metformin + enalapril + empagliflozin + amlodipine + metoprolol. Run KB-20 query. Verify CM01 (ACEi), CM02 (BB), CM03 (SGLT2i), CM04 (Metformin) all fire correctly. Map KB-6 Formulary drug names to CM med_class values.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 (critical)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 Activation from KB-20 Profile not implemented. P2's CM06 documents that eGFR &lt; 60 triggers CKD stratum switch and eGFR &lt; 60 + known HF triggers CKD+HF stratum. But KB-22 engine has no stratum_selector module that reads KB-20 patient profile and loads the correct prior table column.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Designed in P2 §11; not built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needs this immediately (same strata as P2). Any stratified node needs this.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stratum_selector module: input = KB-20 patient profile, output = stratum_id. Rules table: [{condition: 'eGFR &gt;= 60 AND no_HF', stratum: 'DM_HTN_base'}, {condition: 'eGFR &lt; 60 AND no_HF', stratum: 'DM_HTN_CKD'}, ...]. Module loads corresponding prior_table and lr_override columns from YAML.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(critical), all stratified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 Transition Protocol undefined. If a patient presents with pedal oedema (P3) and during questioning reveals dyspnea (triggering P2), what happens? Does P3 hand off to P2? Do both run concurrently? Does the clinician HPI show one report or two? P1→P2 concurrent activation (RF06) is designed, but P3→P2 transition isn't.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addressed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P3→P2 (oedema reveals dyspnea), P4→P2 (fatigue reveals dyspnea), P7→P4 (GI reveals fatigue). Any node can discover symptoms belonging to another node during questioning.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Define three transition modes: (1) CONCURRENT: both nodes run, merged output (P1+P2 model). (2) HANDOFF: original node suspends, new node runs, original resumes with new node's output as context. (3) FLAG_ONLY: original node flags the symptom for clinician attention but doesn't activate second node. Each node's red flag and discriminating question tables must specify which mode applies for each cross-node trigger.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(immediate), all nodes</w:t>
            </w:r>
          </w:p>
        </w:tc>
      </w:tr>
    </w:tbl>
    <w:p>
      <w:r>
        <w:br w:type="page"/>
      </w:r>
    </w:p>
    <w:p>
      <w:pPr>
        <w:pStyle w:val="Heading1"/>
        <w:spacing w:before="300" w:after="150"/>
      </w:pPr>
      <w:r>
        <w:rPr>
          <w:rFonts w:ascii="Arial" w:cs="Arial" w:eastAsia="Arial" w:hAnsi="Arial"/>
        </w:rPr>
        <w:t xml:space="preserve">4. Category C: Per-Node Evidence Harvest Gaps</w:t>
      </w:r>
    </w:p>
    <w:p>
      <w:pPr>
        <w:spacing w:after="120" w:before="0"/>
      </w:pPr>
      <w:r>
        <w:rPr>
          <w:rFonts w:ascii="Arial" w:cs="Arial" w:eastAsia="Arial" w:hAnsi="Arial"/>
          <w:b w:val="false"/>
          <w:bCs w:val="false"/>
          <w:i w:val="false"/>
          <w:iCs w:val="false"/>
          <w:color w:val="000000"/>
          <w:sz w:val="22"/>
          <w:szCs w:val="22"/>
        </w:rPr>
        <w:t xml:space="preserve">Each of P3–P7 has specific evidence harvest requirements. This section maps what must be sourced before clinical authoring can begin, what architecture pattern applies (P1-style single-stratum or P2-style parameterised), and which cross-node dependencies exist.</w:t>
      </w:r>
    </w:p>
    <w:p>
      <w:pPr>
        <w:pStyle w:val="Heading2"/>
        <w:spacing w:before="300" w:after="150"/>
      </w:pPr>
      <w:r>
        <w:rPr>
          <w:rFonts w:ascii="Arial" w:cs="Arial" w:eastAsia="Arial" w:hAnsi="Arial"/>
        </w:rPr>
        <w:t xml:space="preserve">4.1 P3: Pedal Oedema / Pair Sujna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color w:val="4A148C"/>
                <w:sz w:val="20"/>
                <w:szCs w:val="20"/>
              </w:rPr>
              <w:t xml:space="preserve">ARCHITECTURE: Parameterised Strata (same as P2). CKD fundamentally changes oedema interpretation — nephrotic-range proteinuria causes oedema through different mechanism than HF. CCB-induced oedema is the #1 drug-related differential in this cohort.</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400"/>
        <w:gridCol w:w="1800"/>
        <w:gridCol w:w="4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Must Be Harvested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Sources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Missing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What</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Indian-specific prevalence of CCB-induced oedema in DM+HTN cohort. Amlodipine is the most prescribed CCB in India. Global RCT data reports 10–15% incidence, but Indian pharmacovigilance data may differ due to body weight distribution and concomitant RAAS inhibitor use (which reduces CCB oedema).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ACCOMPLISH trial (CCB+ACEi vs CCB alone oedema rates), Indian PV database (CDSCO), StatPearls Amlodipine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and P2 didn't need CCB-specific oedema data. P3 does because CCB oedema is the highest-prevalence differential in DM+HTN pedal oedema.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base priors (DX01 CCB-induced oedema prior)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 literature search + extraction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DVT likelihood ratios adapted for Indian DM+HTN cohort. Wells Score for DVT is validated in Western populations. DM patients have higher VTE risk (OR 1.4). Indian-specific DVT data is sparse — Padma Priya (2016) and CTRI registries provide limited Indian DVT epidemiology.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Wells 1997 (original DVT score), Padma Priya 2016 (Indian DVT), CTRI registry, ESC 2019 VTE in special populations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uses PE likelihood ratios (sudden dyspnea + pleuritic pain). P3 needs the DVT side: unilateral oedema + calf tenderness + recent immobility.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DX05 (DVT) priors and DQ-level LR values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CKD-stage-specific oedema mechanisms. At CKD 3b (eGFR 30–44): oedema primarily from salt retention. At CKD 4–5 (eGFR &lt;30): nephrotic-range proteinuria causes hypoalbuminaemia-driven oedema. At dialysis: interdialytic fluid gain. Different mechanisms require different questions (dietary salt vs proteinuria vs dialysis adherence).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KDIGO 2024 (CKD staging + oedema management), NKF guidelines, nephrology textbooks (Brenner &amp; Rector)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treats CKD as a single stratum. P3 may need sub-stratification within CKD (stage 3b vs 4–5 vs dialysis). ARCHITECTURAL DECISION NEEDED: is CKD sub-stratification a fourth stratum column, or handled by context modifiers within CKD stratum?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stratum architecture + CKD-specific prior tables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 days (complex)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Hypothyroidism-oedema differential. Hypothyroidism causes myxoedema (non-pitting oedema). Prevalence in Indian DM+HTN cohort estimated 10–15% (subclinical) based on ICMR data. Distinguished from pitting oedema (HF/CKD/CCB) by pitting test. HPI must include pitting vs non-pitting discrimination.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Unnikrishnan 2013 (Indian thyroid epidemiology), StatPearls Myxedema, ATA guidelines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and P2 don't encounter hypothyroidism as a primary differential. P3 does because myxoedema is a treatable cause of non-pitting pedal oedema in this cohort.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DX06 (Hypothyroidism) prior + DQ for pitting 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 oedema vs HF oedema discriminating questions. Both cause bilateral pitting oedema. Key discriminators: (1) CCB oedema worse in evening/after standing (gravity-dependent); HF oedema worse on waking. (2) CCB oedema improves with leg elevation rapidly; HF oedema improves slowly. (3) CCB oedema not associated with dyspnea/orthopnea; HF oedema usually is. These LR values need harvesting.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Chapter 20 (Peripheral Oedema), clinical pharmacy literature on CCB ADR profiles, Makani 2015 (CCB oedema systematic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didn't need oedema-type discrimination. P3's entire diagnostic challenge is distinguishing drug-induced from disease-induced bilateral oedema in a polypharmacy cohort.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DQ01–DQ06 LR values (the core discriminating power of the node)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 days (critical)</w:t>
            </w:r>
          </w:p>
        </w:tc>
      </w:tr>
    </w:tbl>
    <w:p>
      <w:pPr>
        <w:pStyle w:val="Heading2"/>
        <w:spacing w:before="300" w:after="150"/>
      </w:pPr>
      <w:r>
        <w:rPr>
          <w:rFonts w:ascii="Arial" w:cs="Arial" w:eastAsia="Arial" w:hAnsi="Arial"/>
        </w:rPr>
        <w:t xml:space="preserve">4.2 P4: Fatigue / Thakaan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EEF4FA" w:val="clear"/>
            <w:tcMar>
              <w:top w:type="dxa" w:w="100"/>
              <w:left w:type="dxa" w:w="200"/>
              <w:bottom w:type="dxa" w:w="100"/>
              <w:right w:type="dxa" w:w="200"/>
            </w:tcMar>
          </w:tcPr>
          <w:p>
            <w:r>
              <w:rPr>
                <w:rFonts w:ascii="Arial" w:cs="Arial" w:eastAsia="Arial" w:hAnsi="Arial"/>
                <w:color w:val="1565C0"/>
                <w:sz w:val="20"/>
                <w:szCs w:val="20"/>
              </w:rPr>
              <w:t xml:space="preserve">ARCHITECTURE: Single-Stratum (P1-style). CKD and HF change fatigue prior probability but don't change the diagnostic value of screening questions. Hypothyroidism screening, depression screening (PHQ-2/PHQ-9), and HbA1c-based uncontrolled diabetes assessment have consistent LR values across strata.</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400"/>
        <w:gridCol w:w="1800"/>
        <w:gridCol w:w="4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Must Be Harvested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Sources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Missing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What</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Depression screening LR values adapted for Indian DM+HTN adults. PHQ-2 and PHQ-9 are validated globally, but cultural expression of depression in India (somatisation &gt; mood symptoms) means the standard screening questions have different sensitivity. Indian DM patients express depression as 'thakaan' (fatigue) and 'kuch achha nahi lagta' (nothing feels good) rather than 'sadness.'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Patel 2008 (Indian depression screening), PHQ validation in Hindi, Poongothai 2009 (depression in Indian DM), ICMR mental health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screen for depression. P4's fatigue differential makes depression a top-3 differential (DM doubles depression risk). The HPI's Hindi phrasing must account for somatisation bias.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DX04 (Depression) prior + DQ LR values + culturally adapted Hindi prompts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 days (requires cultural adaptation review)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Hypothyroidism prevalence and screening approach in Indian DM+HTN. TSH screening thresholds are standard, but subclinical hypothyroidism prevalence in Indian DM patients is 10–15% (higher than general population). Fatigue from subclinical hypothyroidism overlaps extensively with fatigue from uncontrolled diabetes, anaemia, and depression.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Unnikrishnan 2013, ATA 2012 (subclinical hypothyroidism), ADA 2024 (thyroid screening in 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encounter thyroid-related differentials. P4 needs TSH-based differential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DX03 (Hypothyroidism) prior + context modifier for recent TSH results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Fatigue severity scaling for DM-specific causes. Uncontrolled diabetes (HbA1c &gt; 9) causes fatigue through hyperglycaemia-induced osmotic symptoms. Controlled diabetes on metformin causes fatigue through B12 deficiency (metformin reduces B12 absorption — prevalence 10–30% after 4+ years). These have different severity profiles and temporal patterns that discriminating questions must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ADA 2024 (B12 monitoring on metformin), de Jager 2010 (metformin + B12 RCT), StatPearls B12 deficiency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(Numbness-Tingling) will also need metformin-B12 data but from a neuropathy angle. P4 needs it from a fatigue angle. SHARED EVIDENCE HARVEST between P4 and P5.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DX02 (Uncontrolled DM fatigue) and DX05 (B12 deficiency fatigue) priors + DQ temporal pattern questions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 (shared with P5 harvest)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fatigue-dyspnea discrimination. Anaemia causes both fatigue (P4) and dyspnea (P2). When a patient presents with fatigue, the node must determine if co-existing dyspnea exists (triggering cross-node activation with P2). But fatigue patients may describe mild exertional dyspnea as 'thakaan' without recognising it as a separate symptom. HPI must include an explicit dyspnea screen within the fatigue node.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(already harvested for P2), clinical consensus on anaemia symptom overlap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P2's anaemia differential (DX06) has the LR data. P4 needs to know when to activate P2 as a concurrent node.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red flag / acuity question that screens for dyspnea + cross-node trigger specification (B05 must be resolved first)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 (depends on B05 resolution)</w:t>
            </w:r>
          </w:p>
        </w:tc>
      </w:tr>
    </w:tbl>
    <w:p>
      <w:pPr>
        <w:pStyle w:val="Heading2"/>
        <w:spacing w:before="300" w:after="150"/>
      </w:pPr>
      <w:r>
        <w:rPr>
          <w:rFonts w:ascii="Arial" w:cs="Arial" w:eastAsia="Arial" w:hAnsi="Arial"/>
        </w:rPr>
        <w:t xml:space="preserve">4.3 P5: Numbness-Tingling / Haath-Pair Sunn Hona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ARCHITECTURE: Single-Stratum (P1-style). Diabetic peripheral neuropathy assessment doesn't change with CKD/HF. But A06 (Pertinent Negative Reliability) is CRITICAL here — neuropathy patients have reduced sensation, so asking 'do you feel numbness?' to a patient who already has numbness is a circular question.</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400"/>
        <w:gridCol w:w="1800"/>
        <w:gridCol w:w="4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Must Be Harvested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Sources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Missing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What</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Michigan Neuropathy Screening Instrument LR values for DM+HTN cohort. MNSI is the standard screening tool. The 15-question patient version + 8-item clinical exam has published sensitivity/specificity but not question-level LR values. For the HPI node, we need per-question LR decomposition to feed the Bayesian engine, not just the composite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Feldman 1994 (MNSI original), Pop-Busui 2017 (ADA neuropathy position statement), Herman 2012 (MNSI validation in multiple populations)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assess neuropathy. P5 is the first node to use a validated screening instrument as its question backbone. ARCHITECTURAL QUESTION: should P5 embed MNSI questions directly, or should it use MNSI-informed but independently weighted discriminating questions?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DQ01–DQ08 question selection and LR values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 days (requires per-question LR derivation from published composite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Metformin-induced B12 deficiency neuropathy discrimination from diabetic peripheral neuropathy. Both cause symmetric distal sensory loss. Key discriminators: (1) B12-deficiency neuropathy has macrocytic anaemia on CBC; DPN doesn't. (2) B12 neuropathy can be reversible with supplementation; DPN is progressive. (3) B12 neuropathy onset correlates with metformin duration &gt; 4 years; DPN correlates with diabetes duration and HbA1c.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 Jager 2010 (metformin B12 RCT), ADA 2024 (B12 screening), SHARED with P4 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needs B12-fatigue data; P5 needs B12-neuropathy data. Same evidence base, different clinical questions. Harvest once, split into two node contributions.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DX02 (B12 deficiency neuropathy) prior + CM for metformin duration + DQ temporal pattern. Also feeds P4 DX05.</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SHARED with P4 — 3–4 days total for both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Carpal tunnel syndrome prevalence in Indian DM+HTN cohort. DM is an independent risk factor for CTS (OR 1.5–2.0). CTS presents as hand numbness/tingling that patients may describe identically to DPN. Key discriminator: CTS affects median nerve distribution (thumb, index, middle, radial half of ring finger) while DPN is stocking-glove pattern. HPI must include distribution-pattern question.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AAN 2011 (CTS practice guideline), Graham 2006 (CTS in DM systematic review), Latinovic 2006 (DM+CTS epidemiology)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encounter CTS. P5 needs distribution-pattern discrimination between CTS and DPN.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P5 DX03 (CTS) prior + DQ distribution pattern question with LR values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r>
    </w:tbl>
    <w:p>
      <w:pPr>
        <w:pStyle w:val="Heading2"/>
        <w:spacing w:before="300" w:after="150"/>
      </w:pPr>
      <w:r>
        <w:rPr>
          <w:rFonts w:ascii="Arial" w:cs="Arial" w:eastAsia="Arial" w:hAnsi="Arial"/>
        </w:rPr>
        <w:t xml:space="preserve">4.4 P6: Visual Changes / Nazar Kamzor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ARCHITECTURE: Single-Stratum (P1-style). But this node has a UNIQUE CHALLENGE: it's the first node where most differentials require in-person examination (fundoscopy, tonometry) and cannot be resolved by history alone. The node's primary value is acuity classification (urgent vs routine) and red flag screening, not differential resolution.</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400"/>
        <w:gridCol w:w="1800"/>
        <w:gridCol w:w="4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Must Be Harvested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Sources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Missing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What</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Diabetic retinopathy symptom-to-stage correlation. Patients report visual changes only at advanced stages (proliferative DR or diabetic macular oedema). Early NPDR is asymptomatic. This means the node's prior for 'any DR' is very different from 'symptomatic DR' — most DR patients won't present through this HPI node because they don't have symptoms yet. The node must be calibrated against SYMPTOMATIC DR prevalence, not total DR prevalence.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ADA 2024 (retinopathy screening), ETDRS classification, Raman 2009 (Indian DR prevalence — CURES Eye Study), Namperumalsamy 2009 (Aravind Eye Hospital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encounter visual differentials. P6 has a fundamentally different node design problem: most of its target conditions are asymptomatic. This affects completion criteria and closure thresholds.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P6 base priors must be recalibrated to SYMPTOMATIC prevalence not total prevalence. Also affects completion criteria (A05 threshold guideline).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 days (requires Indian DR data synthesis)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visual loss red flags: retinal detachment, acute angle-closure glaucoma, central retinal artery/vein occlusion, vitreous haemorrhage. These are time-sensitive emergencies. LR values for history-based discrimination of acute visual loss causes are sparse — most literature focuses on examination findings, not patient-reported symptoms.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NICE glaucoma guideline, AAO Preferred Practice Patterns (acute visual loss), McGee (limited visual exam chapter)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red flags are better-evidenced (ACS, PE, stroke have extensive symptom-based LR literature). P6's red flags rely more on examination than history, creating an evidence gap for HPI-based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P6 red flag sensitivity may be lower than P1/P2. Safety floor specification must account for higher uncertainty. May need a mandatory 'Refer for ophthalmic exam within 24h' floor action for any acute visual change.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 + need to set node-specific closure expectations lower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Hypoglycaemia-related visual changes. Transient visual blurring is a common neuroglycopenic symptom at glucose &lt;60 mg/dL. Also, acute hyperglycaemia causes osmotic lens swelling with transient refractive changes. Both are reversible and common in DM cohort. These are the medication-aware differentials that distinguish P6 from a generic ophthalmology triage node.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ADA 2024 (hypoglycaemia classification), StatPearls Hypoglycaemia (visual symptoms), Diabetes textbooks (osmotic lens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P0 (Dizziness) harvested hypoglycaemia LRs but for dizziness-specific symptoms. P6 needs the visual-specific symptom correlation.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P6 DX06 (Hypoglycaemia-related visual changes) + CM for insulin/SU use (shared with P0 Dizziness CM03-CM04)</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 (partial harvest from P0 reusable)</w:t>
            </w:r>
          </w:p>
        </w:tc>
      </w:tr>
    </w:tbl>
    <w:p>
      <w:pPr>
        <w:pStyle w:val="Heading2"/>
        <w:spacing w:before="300" w:after="150"/>
      </w:pPr>
      <w:r>
        <w:rPr>
          <w:rFonts w:ascii="Arial" w:cs="Arial" w:eastAsia="Arial" w:hAnsi="Arial"/>
        </w:rPr>
        <w:t xml:space="preserve">4.5 P7: GI Disturbance / Pet Kharab</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color w:val="F57F17"/>
                <w:sz w:val="20"/>
                <w:szCs w:val="20"/>
              </w:rPr>
              <w:t xml:space="preserve">ARCHITECTURE: Single-Stratum with HEAVY medication overlay (P1-style but with the most CMs of any node). Metformin GI effects dominate this node's differential. May need parameterised strata if CKD-related uremic GI symptoms prove to change question interpretation (A01 decision pending).</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400"/>
        <w:gridCol w:w="1800"/>
        <w:gridCol w:w="4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Must Be Harvested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Sources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Missing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What</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Metformin GI ADR profile with dose-response curve. Metformin causes GI symptoms (nausea, diarrhoea, bloating) in 20–30% of patients. Dose-dependent: higher at initiation and dose increases. Extended-release formulation reduces GI effects by 50%. The CM must distinguish: (1) new metformin or recent dose increase (acute GI = drug-related), (2) stable metformin for years (GI unlikely drug-related unless concurrent illness reducing tolerance), (3) switch from XR to IR formulation.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Metformin, Bouchoucha 2011 (metformin GI systematic review), Bonnet 2017 (XR vs IR GI effects), ADA 2024 (metformin intolerance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capture metformin lactic acidosis (catastrophic, rare). P7 needs metformin GI effects (common, non-catastrophic). Same drug, completely different ADR profile for this node.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P7 DX01 (Metformin intolerance) prior + CM with dose-response and formulation logic. HEAVIEST CM in the entire node library.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Diabetic gastroparesis prevalence and HPI-based discrimination from functional dyspepsia. Gastroparesis (delayed gastric emptying) affects 20–50% of long-standing DM patients. Symptoms overlap extensively with functional dyspepsia, GERD, and metformin intolerance. Key discriminators: (1) gastroparesis worse after meals with specific lag time (30–60 min); (2) associated with early satiety and bloating more than pain; (3) correlates with DM duration &gt; 10 years and autonomic neuropathy.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Camilleri 2018 (AGA gastroparesis guideline), Bharucha 2015 (gastroparesis epidemiology), Rome IV criteria for functional dyspepsia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don't encounter gastroparesis. P7's diagnostic challenge is separating gastroparesis from metformin intolerance from GERD in a DM patient — all three cause nausea, bloating, and abdominal discomfort.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P7 DX02 (Gastroparesis) prior + DQ meal-timing questions + CM for DM duration / autonomic neuropathy status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SGLT2i GI complications beyond DKA. P1/P2 capture euglycemic DKA (catastrophic). P7 needs the common GI effects: SGLT2i-associated mycotic genital infections can present with abdominal discomfort, and volume depletion can cause nausea. Also, SGLT2i + metformin combination (very common in Indian DM management) has additive GI effects.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SGLT2i (already partially harvested for P1/P2), NKF SGLT2i side effects, Indian market formulation data (combination pills: Dapagliflozin + Metformin XR widely prescribed)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harvested SGLT2i DKA data. P7 needs the non-catastrophic SGLT2i GI effects, especially in combination with metformin.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P7 CM for SGLT2i+Metformin combo GI effects (NEW CM not shared with P1/P2)</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 (partial reuse from P1/P2 harvest)</w:t>
            </w:r>
          </w:p>
        </w:tc>
      </w:tr>
    </w:tbl>
    <w:p>
      <w:r>
        <w:br w:type="page"/>
      </w:r>
    </w:p>
    <w:p>
      <w:pPr>
        <w:pStyle w:val="Heading1"/>
        <w:spacing w:before="300" w:after="150"/>
      </w:pPr>
      <w:r>
        <w:rPr>
          <w:rFonts w:ascii="Arial" w:cs="Arial" w:eastAsia="Arial" w:hAnsi="Arial"/>
        </w:rPr>
        <w:t xml:space="preserve">5. Category D: Pipeline Dependencies Unresolved</w:t>
      </w:r>
    </w:p>
    <w:p>
      <w:pPr>
        <w:spacing w:after="120" w:before="0"/>
      </w:pPr>
      <w:r>
        <w:rPr>
          <w:rFonts w:ascii="Arial" w:cs="Arial" w:eastAsia="Arial" w:hAnsi="Arial"/>
          <w:b w:val="false"/>
          <w:bCs w:val="false"/>
          <w:i w:val="false"/>
          <w:iCs w:val="false"/>
          <w:color w:val="000000"/>
          <w:sz w:val="22"/>
          <w:szCs w:val="22"/>
        </w:rPr>
        <w:t xml:space="preserve">P2's Section 11 mapped three pipeline dependency categories (A: supplies today, B: gap, C: never from pipeline). This section traces which pipeline deliverables each P3–P7 node requires and what's not yet scheduled.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1500"/>
        <w:gridCol w:w="2000"/>
        <w:gridCol w:w="46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Dependency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Which Nodes Need 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V4 Phase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If Unresolved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KB-18 ADR Profiles with Four-Element Chain (drug_class → mechanism → onset_window → context_modifier_rule). This is the backbone of every node's medication-aware context modifiers.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 P3 needs CCB oedema profile. P4 needs metformin B12 depletion profile. P5 needs metformin B12 neuropathy profile. P7 needs metformin GI dose-response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5 (Week 1) — KB-18 extraction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Manually authored at CALIBRATE quality for P1/P2. Not yet validated against pipeline-extracted SPL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node launches with CALIBRATE-quality ADR profiles. Pipeline validation upgrades to HIGH_CONF. Without pipeline, no automated ADR profile updates when new SPL data publishes.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ADA Standards of Care extraction via GuidelineProfile abstraction. ADA Section 9 (pharmacologic treatment) provides insulin titration rules. ADA Section 10 (CVD) provides ACS-equivalent prevalence in DM. ADA Section 11 (CKD) provides renal-specific dosing. ADA Section 12 (retinopathy) provides screening intervals.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(HbA1c-based fatigue differential from ADA glycaemic targets), P5 (ADA neuropathy screening recommendation), P6 (ADA retinopathy screening intervals), P7 (ADA metformin intolerance management pathway)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 (Week 2) — GuidelineProfile abstraction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started. Pipeline currently only supports KDIGO profile.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Without ADA extraction, P4–P7 must manually harvest all ADA-sourced data. This is feasible (we did it for P1/P2) but doesn't scale and doesn't auto-update when ADA 2025 publishes.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RSSDI 2024 extraction for Indian-specific treatment pathways. RSSDI provides India-adapted glycaemic targets, preferred drug combinations for Indian market, and culturally specific lifestyle recommendations that affect multiple 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(RSSDI glycaemic targets differ from ADA: HbA1c &lt; 7.0 for most, &lt; 6.5 for young DM), P7 (RSSDI metformin initiation protocol with Indian-specific dose escalation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 (Week 2) — GuidelineProfile abstraction (second profile after ADA)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started. RSSDI PDF formatting differs from KDIGO and ADA — uses numbered recommendations with evidence grades in different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Without RSSDI extraction, Indian-specific targets must be manually entered. Acceptable for launch but creates guideline-update drift risk.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Range Integrity Engine (RIE) cross-system threshold validation. P2 Correction 4 identified that stratum activation boundaries (eGFR &lt; 60) must be consistent with dosing thresholds (eGFR &lt; 45 for metformin reduction). RIE validates this.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(same stratum boundaries as P2), P7 (metformin dose-response thresholds must align with KB-1 dosing rules)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4 (Week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Designed but not built. P2's Correction 4 added cross-system check requirement.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Without RIE, stratum activation and dosing thresholds can silently drift apart when pipeline re-extracts updated guideline values.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SPL-to-KB-18 ETL pathway for non-guideline ADR data. P2 Correction 2 identified that SPL labels are XML, not PDF. Channel D table decomposition doesn't handle SPL XML. SPLGuard extracts Element 1 facts but needs a separate ETL to populate KB-18.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(CCB oedema profile from amlodipine SPL), P5 (B12 depletion not in SPL but metformin lactic acidosis warning is), P7 (metformin GI ADR rates from SPL Section 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5b (not yet scheduled)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Correction 2 flagged this. Not in current Pipeline V4 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 profiles remain manually authored from literature harvest. SPL provides the most authoritative frequency data (e.g., 'nausea: 12.5%') but can't be consumed automatically.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KB-18 completeness_grade field. P2 Correction 3 identified that pipeline-extracted KB-18 records will have FULL (all 7 fields), PARTIAL (missing mechanism/onset), or STUB (drug_class + symptom only) completeness. Nodes should consume FULL at HIGH_CONF, PARTIAL at CALIBRATE, ignore STUBs.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nodes. Without completeness grading, a node might consume a STUB record and present a drug flag without mechanism explanation or onset window.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5 (Week 1) — addition to KB-18 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Identified in P2 review. Not yet added to KB-18 schema spec.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Nodes consume incomplete ADR profiles without knowing they're incomplete. CM fires with 'drug X may cause symptom Y' but can't say when or why.</w:t>
            </w:r>
          </w:p>
        </w:tc>
      </w:tr>
    </w:tbl>
    <w:p>
      <w:r>
        <w:br w:type="page"/>
      </w:r>
    </w:p>
    <w:p>
      <w:pPr>
        <w:pStyle w:val="Heading1"/>
        <w:spacing w:before="300" w:after="150"/>
      </w:pPr>
      <w:r>
        <w:rPr>
          <w:rFonts w:ascii="Arial" w:cs="Arial" w:eastAsia="Arial" w:hAnsi="Arial"/>
        </w:rPr>
        <w:t xml:space="preserve">6. Category E: Calibration Infrastructure Missing</w:t>
      </w:r>
    </w:p>
    <w:p>
      <w:pPr>
        <w:spacing w:after="120" w:before="0"/>
      </w:pPr>
      <w:r>
        <w:rPr>
          <w:rFonts w:ascii="Arial" w:cs="Arial" w:eastAsia="Arial" w:hAnsi="Arial"/>
          <w:b w:val="false"/>
          <w:bCs w:val="false"/>
          <w:i w:val="false"/>
          <w:iCs w:val="false"/>
          <w:color w:val="000000"/>
          <w:sz w:val="22"/>
          <w:szCs w:val="22"/>
        </w:rPr>
        <w:t xml:space="preserve">P1 and P2 both specify post-deployment calibration targets (concordance with physician, red flag sensitivity, closure rate). But the infrastructure to measure these doesn't exist yet.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2200"/>
        <w:gridCol w:w="3000"/>
        <w:gridCol w:w="31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Infrastructure Missing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P1/P2 Assumed Exists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If Unresolved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Required</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Clinician Adjudication Interface. After each HPI interaction, a clinician must record their actual diagnosis for concordance measurement. No interface exists for this. P1/P2 calibration plans assume 'After N=200 completed interactions with clinician adjudication' but don't specify how adjudication data enters the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Clinician reviews HPI output, records top-1 diagnosis, marks agreement/disagreement with node's top-1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Cannot measure concordance. Cannot calibrate. Nodes remain at initial evidence-harvested weights indefinitely.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minimal adjudication interface: clinician sees HPI output, selects actual diagnosis from dropdown (node's differentials + 'Other'), adds optional comment. Stores in calibration_events table. Accessible via mobile (clinicians won't use desktop during rounds).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node calibration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Per-Question Information Gain Tracker. P1/P2 calibration plans specify 'prune questions with info gain &lt; 0.05 bits.' But no infrastructure computes per-question information gain from live interactions. This requires: (1) logging posterior state before and after each question answer, (2) computing KL divergence between prior and posterior per question, (3) aggregating across N interactions.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Bayesian engine logs intermediate posterior 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Cannot optimise question ordering. Cannot prune low-value questions. Median interaction length stays at initial design (may be too long).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engine must emit posterior_snapshot after each question. Data pipeline computes per-question info_gain = KL(posterior_after || posterior_before). Aggregation service produces weekly report.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Question ordering optimisation for ALL nodes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Stratum-Specific Calibration Isolation. P2 specifies 'separate concordance tracking for base vs CKD vs CKD+HF.' This requires partitioning calibration data by stratum and running concordance analysis independently per stratum. If the node has 200 total interactions but only 15 are in CKD+HF stratum, the stratum-specific calibration is underpowered.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Calibration data is stratum-tagged and analysed independently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CKD+HF stratum will have insufficient calibration data for months. Stratum-specific LR values remain at CALIBRATE quality long after base stratum reaches HIGH_CONF.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Define minimum stratum calibration sample: 50 per stratum for initial calibration, 200 for HIGH_CONF upgrade. If a stratum has &lt; 50 interactions after 3 months, consider targeted patient recruitment or clinician case review supplement.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CKD/HF strata, P3 CKD strata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Pata-Nahi Rate Tracking. P0 (Dizziness) calibration plan specifies 'reword questions with &gt; 25% unanswered rate.' This requires tracking when patients respond with 'pata nahi' (don't know) or equivalent per question. The ASR (Automatic Speech Recognition) layer must map Hindi/English 'don't know' variants to a standardised UNKNOWN response 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ASR maps 'pata nahi', 'nahi pata', 'don't know', 'not sure', silence-timeout to UNKNOWN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pata-nahi rate questions remain in the node, wasting question budget and frustrating patients. Particularly important for P6 (visual changes — patients may not know how to describe visual symptoms) and P5 (numbness distribution — patients may not distinguish median vs ulnar territory).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ASR UNKNOWN mapping table + per-question pata_nahi_rate aggregation. Questions exceeding 25% threshold flagged for Hindi rewording review.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 improvement for ALL nodes, critical for P5 and P6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Concordance Measurement. When P1 + P2 fire concurrently (RF06), the merged clinician HPI has outputs from both nodes. Concordance must be measured against the final diagnosis, but which node gets 'credit'? If a patient has chest pain + dyspnea and the final diagnosis is ACS, both nodes contributed. Need attribution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addressed in P1 or P2 calibration plans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interactions are calibrated as if they were single-node interactions, losing the signal that concurrent activation provided. Cannot measure whether cross-node safety protocol (ACS floor escalation) actually improves outcomes.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Define cross-node calibration model: (1) each node's concordance is measured independently (did P1's top-1 match final Dx? did P2's top-1 match?), (2) a cross-node concordance metric measures whether the MERGED output's top-1 matches, (3) safety protocol effectiveness measured by: 'would the single-node output have missed this diagnosis that the cross-node protocol caught?'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P1+P2 cross-node calibration, P3+P2 cross-node calibration</w:t>
            </w:r>
          </w:p>
        </w:tc>
      </w:tr>
    </w:tbl>
    <w:p>
      <w:r>
        <w:br w:type="page"/>
      </w:r>
    </w:p>
    <w:p>
      <w:pPr>
        <w:pStyle w:val="Heading1"/>
        <w:spacing w:before="300" w:after="150"/>
      </w:pPr>
      <w:r>
        <w:rPr>
          <w:rFonts w:ascii="Arial" w:cs="Arial" w:eastAsia="Arial" w:hAnsi="Arial"/>
        </w:rPr>
        <w:t xml:space="preserve">7. Master Gap-to-Node Dependency Matrix</w:t>
      </w:r>
    </w:p>
    <w:p>
      <w:pPr>
        <w:spacing w:after="120" w:before="0"/>
      </w:pPr>
      <w:r>
        <w:rPr>
          <w:rFonts w:ascii="Arial" w:cs="Arial" w:eastAsia="Arial" w:hAnsi="Arial"/>
          <w:b w:val="false"/>
          <w:bCs w:val="false"/>
          <w:i w:val="false"/>
          <w:iCs w:val="false"/>
          <w:color w:val="000000"/>
          <w:sz w:val="22"/>
          <w:szCs w:val="22"/>
        </w:rPr>
        <w:t xml:space="preserve">This matrix shows which gaps block which nodes. A cell marked BLOCKING means the node cannot enter clinical authoring until that gap is resolved. REQUIRED means the gap must be resolved before deployment but doesn't block authoring. BENEFICIAL means resolution improves quality but the node can launch without it.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2000"/>
        <w:gridCol w:w="328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P3 Pedal Oedema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P4 Fatigue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P5 Numbness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P6 Visual</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P7 GI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A01 Stratum Decision Tree</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A02 Strata YAML Schema</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TBD (A01)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A03 Safety Floor Pattern</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A04 Question Reranking</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TBD (A01)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A05 Confidence Threshold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A06 Pertinent Neg Reliability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B01 Shared CM Registry</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32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B02 Cross-Node Safety Engine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B03 Med List Integration Test</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32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B04 Stratum Activation</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B05 Node Transition Protocol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D01 KB-18 ADR Profiles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32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D02 ADA Extraction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D04 RIE Cross-System</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D06 KB-18 Completeness Grade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BENEFICIAL</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E01 Adjudication Interface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20"/>
                <w:szCs w:val="20"/>
              </w:rPr>
              <w:t xml:space="preserve">REQUIRED</w:t>
            </w:r>
          </w:p>
        </w:tc>
      </w:tr>
    </w:tbl>
    <w:p>
      <w:r>
        <w:br w:type="page"/>
      </w:r>
    </w:p>
    <w:p>
      <w:pPr>
        <w:pStyle w:val="Heading1"/>
        <w:spacing w:before="300" w:after="150"/>
      </w:pPr>
      <w:r>
        <w:rPr>
          <w:rFonts w:ascii="Arial" w:cs="Arial" w:eastAsia="Arial" w:hAnsi="Arial"/>
        </w:rPr>
        <w:t xml:space="preserve">8. Recommended Build Sequence (Gap-Aware)</w:t>
      </w:r>
    </w:p>
    <w:p>
      <w:pPr>
        <w:spacing w:after="120" w:before="0"/>
      </w:pPr>
      <w:r>
        <w:rPr>
          <w:rFonts w:ascii="Arial" w:cs="Arial" w:eastAsia="Arial" w:hAnsi="Arial"/>
          <w:b w:val="false"/>
          <w:bCs w:val="false"/>
          <w:i w:val="false"/>
          <w:iCs w:val="false"/>
          <w:color w:val="000000"/>
          <w:sz w:val="22"/>
          <w:szCs w:val="22"/>
        </w:rPr>
        <w:t xml:space="preserve">The original priority order (P3 Pedal Oedema → P4 Fatigue → P5 Numbness → P6 Visual → P7 GI) assumed no blocking dependencies. The gap analysis reveals that P3 has the MOST blocking dependencies (7 BLOCKING gaps) while P4 and P5 have fewer (2–3 BLOCKING). This suggests a revised sequence.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2400"/>
        <w:gridCol w:w="2000"/>
        <w:gridCol w:w="328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Nodes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 Gaps Resolved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Harvest Required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0: Infrastructure Sprint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nodes — resolve blocking gaps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Resolve: A01 (Stratum Decision Tree), A02 (Strata Schema), A03 (Safety Floor Pattern), B01 (Shared CM Registry), B03 (Med List Integration Test), B04 (Stratum Activation from KB-20). These 6 gaps block everything.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Engineering only — specifications, schemas, smoke tests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1a: P4 Fatigue + P5 Numbness (parallel)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P4 and P5 — both single-stratum, fewer blocking gaps. P5 blocks on A06 (pertinent negative reliability) which is resolved in Phase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A01, A03, A05, A06, B01, B03 (all resolved in Phase 0). B05 (Node Transition) REQUIRED for P4 but can be resolved during authoring.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C06–C09 (P4) and C10–C12 (P5). C08+C11 SHARED (metformin B12). Total: 12–18 days harvest across both 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P1-style (single-stratum) for both. Lighter authoring burden than P3.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3–6 (harvest + authoring + review)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1b: P3 Pedal Oedema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P3 — parameterised strata, heaviest dependency load. Benefits from Phase 0 infrastructure AND from shared CM discoveries in P4/P5.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Phase 0 gaps + A04 (Question Reranking) + B04 (Stratum Activation). D04 (RIE) REQUIRED before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C01–C05. C03 (CKD sub-stratification) is the most complex single harvest item in the library. Total: 16–22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P2-style (parameterised strata). Reuses strata schema from A02. CKD sub-stratification decision (C03) may expand to 4 stratum columns.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5–9 (overlaps with Phase 1a 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 P7 GI Disturbance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P7 — single-stratum but heaviest medication overlay. Benefits from all prior CM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Phase 0 + B01 (Shared CM Registry populated by P1–P5 CMs). D01 (KB-18 ADR) BLOCKING — must be resolved or manually authored.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C16–C18. C16 (metformin GI dose-response) is the most complex CM in the library. Total: 9–12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P1-style but with 12+ context modifiers (most of any node). CM table will be the largest in the library.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8–11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 P6 Visual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P6 — most unique architectural challenge. Node's value is acuity classification not differential resolution. Build last because it requires the most novel design decisions and benefits from all prior infrastructure.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Phase 0 + A05 (Confidence Threshold — BLOCKING for P6 because threshold must be set lower than any other 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C13–C15. C13 (symptomatic DR prevalence) requires Indian-specific data synthesis. C14 (acute visual loss red flags) has evidence gaps. Total: 8–11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P1-style but with fundamentally different completion criteria. May need a 'Triage' mode rather than 'Differential' mode — output classifies urgency rather than ranking diagnoses.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10–13</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KEY CHANGE FROM ORIGINAL PLAN: P4 and P5 move BEFORE P3 in the build sequence. P3 has the most blocking dependencies and the most complex evidence harvest (CKD sub-stratification). Building P4+P5 first resolves shared evidence (metformin B12: C08+C11), populates the Shared CM Registry (B01), and validates the single-stratum architecture at scale before tackling P3's parameterised strata. P3 benefits from everything P4+P5 discover.</w:t>
            </w:r>
          </w:p>
        </w:tc>
      </w:tr>
    </w:tbl>
    <w:p>
      <w:pPr>
        <w:pStyle w:val="Heading1"/>
        <w:spacing w:before="300" w:after="150"/>
      </w:pPr>
      <w:r>
        <w:rPr>
          <w:rFonts w:ascii="Arial" w:cs="Arial" w:eastAsia="Arial" w:hAnsi="Arial"/>
        </w:rPr>
        <w:t xml:space="preserve">9. Shared Evidence Harvest Map (Harvest Once, Consume Many)</w:t>
      </w:r>
    </w:p>
    <w:p>
      <w:pPr>
        <w:spacing w:after="120" w:before="0"/>
      </w:pPr>
      <w:r>
        <w:rPr>
          <w:rFonts w:ascii="Arial" w:cs="Arial" w:eastAsia="Arial" w:hAnsi="Arial"/>
          <w:b w:val="false"/>
          <w:bCs w:val="false"/>
          <w:i w:val="false"/>
          <w:iCs w:val="false"/>
          <w:color w:val="000000"/>
          <w:sz w:val="22"/>
          <w:szCs w:val="22"/>
        </w:rPr>
        <w:t xml:space="preserve">Several evidence harvests serve multiple nodes. Doing these once and splitting the output across consuming nodes saves 30–40% of total harvest effort.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600"/>
        <w:gridCol w:w="1600"/>
        <w:gridCol w:w="36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Harvest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 For P3</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 For P4</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 For P5</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 For P7</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Days (once)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Metformin B12 Depletion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 Jager 2010, ADA 2024 B12 screening, StatPearls B12 deficiency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DX05 (B12 fatigue) prior + temporal pattern DQ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DX02 (B12 neuropathy) prior + CM for metformin duration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CKD-Anaemia-Oedema Nexus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KDIGO 2024 anaemia in CKD, NFHS-5 anaemia, WHO haemoglobin thresholds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DX04 (CKD oedema) stratum-specific priors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DX01 (Anaemia fatigue) CKD-adjusted prior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Hypothyroidism in Indian DM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Unnikrishnan 2013, ATA 2012, ICMR thyroid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DX06 (Myxoedema) prior + pitting test DQ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DX03 (Hypothyroid fatigue) prior + TSH 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SGLT2i ADR Comprehensive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SGLT2i, CANVAS trial, NKF, SPL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 for SGLT2i volume depletion → oedema masking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DX03 (SGLT2i GI effects) + CM for SGLT2i+Metformin combo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Depression in Indian DM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Patel 2008, Poongothai 2009, PHQ Hindi validation, ICMR mental health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DX04 (Depression) prior + culturally adapted DQ + PHQ-2 LR values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 (cultural adaptation)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 ADR Profile (Oedema + GI)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ACCOMPLISH trial, Makani 2015, StatPearls Amlodipine, Indian PV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DX01 (CCB oedema) prior + temporal DQ + discrimination from HF oedema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 for CCB-related nausea (uncommon but exists)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color w:val="1B5E20"/>
                <w:sz w:val="20"/>
                <w:szCs w:val="20"/>
              </w:rPr>
              <w:t xml:space="preserve">TOTAL HARVEST EFFORT: ~19–26 days of shared harvest + ~15–20 days of node-specific harvest = 34–46 days total for P3–P7. Compare to naïve approach (harvesting independently per node): ~55–70 days. Shared harvesting saves 35–40% of total effort. Schedule shared harvests in Week 1–2 of Phase 1a to unblock both P4 and P5 simultaneously.</w:t>
            </w:r>
          </w:p>
        </w:tc>
      </w:tr>
    </w:tbl>
    <w:p>
      <w:r>
        <w:br w:type="page"/>
      </w:r>
    </w:p>
    <w:p>
      <w:pPr>
        <w:spacing w:before="200"/>
        <w:jc w:val="center"/>
      </w:pPr>
      <w:r>
        <w:rPr>
          <w:rFonts w:ascii="Arial" w:cs="Arial" w:eastAsia="Arial" w:hAnsi="Arial"/>
          <w:b/>
          <w:bCs/>
          <w:color w:val="888888"/>
          <w:sz w:val="22"/>
          <w:szCs w:val="22"/>
        </w:rPr>
        <w:t xml:space="preserve">End of Document</w:t>
      </w:r>
    </w:p>
    <w:p>
      <w:pPr>
        <w:jc w:val="center"/>
      </w:pPr>
      <w:r>
        <w:rPr>
          <w:rFonts w:ascii="Arial" w:cs="Arial" w:eastAsia="Arial" w:hAnsi="Arial"/>
          <w:color w:val="AAAAAA"/>
          <w:sz w:val="18"/>
          <w:szCs w:val="18"/>
        </w:rPr>
        <w:t xml:space="preserve">Vaidshala HPI Node Library Gap Analysis  |  March 2026  |  27 Gaps Across 5 Categories</w:t>
      </w:r>
    </w:p>
    <w:p>
      <w:pPr>
        <w:jc w:val="center"/>
      </w:pPr>
      <w:r>
        <w:rPr>
          <w:rFonts w:ascii="Arial" w:cs="Arial" w:eastAsia="Arial" w:hAnsi="Arial"/>
          <w:color w:val="AAAAAA"/>
          <w:sz w:val="18"/>
          <w:szCs w:val="18"/>
        </w:rPr>
        <w:t xml:space="preserve">Derived from: P1 Chest Pain V2 + P2 Acute Dyspnea V1 + Pipeline V4 Improvement Plan</w:t>
      </w:r>
    </w:p>
    <w:p>
      <w:pPr>
        <w:jc w:val="center"/>
      </w:pPr>
      <w:r>
        <w:rPr>
          <w:rFonts w:ascii="Arial" w:cs="Arial" w:eastAsia="Arial" w:hAnsi="Arial"/>
          <w:color w:val="AAAAAA"/>
          <w:sz w:val="18"/>
          <w:szCs w:val="18"/>
        </w:rPr>
        <w:t xml:space="preserve">Resolution of Phase 0 infrastructure gaps (6 items) unblocks all subsequent node authoring</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27 Gaps  |  5 Categories  |  Phase 0 Infrastructure Sprint Required Before P3 Authoring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VAIDSHALA  |  HPI Node Library Gap Analysis  |  P3–P7 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2026-03-02T08:29:15.316Z</dcterms:created>
  <dcterms:modified xsi:type="dcterms:W3CDTF">2026-03-02T08:29:15.317Z</dcterms:modified>
</cp:coreProperties>
</file>

<file path=docProps/custom.xml><?xml version="1.0" encoding="utf-8"?>
<Properties xmlns="http://schemas.openxmlformats.org/officeDocument/2006/custom-properties" xmlns:vt="http://schemas.openxmlformats.org/officeDocument/2006/docPropsVTypes"/>
</file>