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Arial" w:cs="Arial" w:eastAsia="Arial" w:hAnsi="Arial"/>
          <w:b/>
          <w:bCs/>
          <w:i w:val="false"/>
          <w:iCs w:val="false"/>
          <w:color w:val="1F4E79"/>
          <w:sz w:val="44"/>
          <w:szCs w:val="44"/>
        </w:rPr>
        <w:t xml:space="preserve">HTN: Two Remaining Gaps</w:t>
      </w:r>
    </w:p>
    <w:p>
      <w:pPr>
        <w:spacing w:after="60" w:before="0"/>
      </w:pPr>
      <w:r>
        <w:rPr>
          <w:rFonts w:ascii="Arial" w:cs="Arial" w:eastAsia="Arial" w:hAnsi="Arial"/>
          <w:b w:val="false"/>
          <w:bCs w:val="false"/>
          <w:i w:val="false"/>
          <w:iCs w:val="false"/>
          <w:color w:val="2E75B6"/>
          <w:sz w:val="26"/>
          <w:szCs w:val="26"/>
        </w:rPr>
        <w:t xml:space="preserve">Early Warning Loop  ·  Antihypertensive Deprescribing</w:t>
      </w:r>
    </w:p>
    <w:p>
      <w:pPr>
        <w:spacing w:after="60" w:before="0"/>
      </w:pPr>
      <w:r>
        <w:rPr>
          <w:rFonts w:ascii="Arial" w:cs="Arial" w:eastAsia="Arial" w:hAnsi="Arial"/>
          <w:b w:val="false"/>
          <w:bCs w:val="false"/>
          <w:i w:val="false"/>
          <w:iCs w:val="false"/>
          <w:color w:val="777777"/>
          <w:sz w:val="20"/>
          <w:szCs w:val="20"/>
        </w:rPr>
        <w:t xml:space="preserve">Addendum to Vaidshala_HTN_Integration_Amendments.docx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Gap</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Coverage in Existing Docs</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Net-New Specification Needed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i w:val="false"/>
                <w:iCs w:val="false"/>
                <w:color w:val="1A1A1A"/>
                <w:sz w:val="19"/>
                <w:szCs w:val="19"/>
              </w:rPr>
              <w:t xml:space="preserve">Stop Deterioration — Early Warning Loop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PARTIALLY covered. sbp_4w_slope and DECLINING status exist. But: no risk-stratified alert threshold, no time-to-damage projection, no compound sub-clinical damage signal, no pre-DECLINING tier for high-risk patients.</w:t>
            </w:r>
          </w:p>
        </w:tc>
        <w:tc>
          <w:tcPr>
            <w:tcW w:type="dxa" w:w="3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val="false"/>
                <w:bCs w:val="false"/>
                <w:i w:val="false"/>
                <w:iCs w:val="false"/>
                <w:color w:val="BF8F00"/>
                <w:sz w:val="19"/>
                <w:szCs w:val="19"/>
              </w:rPr>
              <w:t xml:space="preserve">Yes — four specific mechanisms specified in Part 1</w:t>
            </w:r>
          </w:p>
        </w:tc>
      </w:tr>
      <w:tr>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bCs/>
                <w:i w:val="false"/>
                <w:iCs w:val="false"/>
                <w:color w:val="1A1A1A"/>
                <w:sz w:val="19"/>
                <w:szCs w:val="19"/>
              </w:rPr>
              <w:t xml:space="preserve">Reduce Medicines — Antihypertensive Deprescribing</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SKELETON covered. HTN Proposal §3.4 and §5.3 have entry/exit conditions and the drug hierarchy. But: no post-step-down monitoring protocol, no re-escalation pathway, no adherence pre-condition, no dose-halving step before removal, no SGLT2i buffer accounting.</w:t>
            </w:r>
          </w:p>
        </w:tc>
        <w:tc>
          <w:tcPr>
            <w:tcW w:type="dxa" w:w="39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val="false"/>
                <w:bCs w:val="false"/>
                <w:i w:val="false"/>
                <w:iCs w:val="false"/>
                <w:color w:val="BF8F00"/>
                <w:sz w:val="19"/>
                <w:szCs w:val="19"/>
              </w:rPr>
              <w:t xml:space="preserve">Yes — six operational gaps specified in Part 2</w:t>
            </w:r>
          </w:p>
        </w:tc>
      </w:tr>
    </w:tbl>
    <w:p>
      <w:pPr>
        <w:spacing w:after="0" w:before="160"/>
      </w:pPr>
    </w:p>
    <w:p>
      <w:pPr>
        <w:pStyle w:val="Heading1"/>
        <w:spacing w:after="100" w:before="300"/>
      </w:pPr>
      <w:r>
        <w:rPr>
          <w:rFonts w:ascii="Arial" w:cs="Arial" w:eastAsia="Arial" w:hAnsi="Arial"/>
          <w:b/>
          <w:bCs/>
          <w:i w:val="false"/>
          <w:iCs w:val="false"/>
          <w:color w:val="1F4E79"/>
          <w:sz w:val="34"/>
          <w:szCs w:val="34"/>
        </w:rPr>
        <w:t xml:space="preserve">Part 1 — Early Warning Loop for HTN Deterioration</w:t>
      </w:r>
    </w:p>
    <w:p>
      <w:pPr>
        <w:spacing w:after="80" w:before="60"/>
      </w:pPr>
      <w:r>
        <w:rPr>
          <w:rFonts w:ascii="Arial" w:cs="Arial" w:eastAsia="Arial" w:hAnsi="Arial"/>
          <w:b w:val="false"/>
          <w:bCs w:val="false"/>
          <w:i w:val="false"/>
          <w:iCs w:val="false"/>
          <w:color w:val="1A1A1A"/>
          <w:sz w:val="20"/>
          <w:szCs w:val="20"/>
        </w:rPr>
        <w:t xml:space="preserve">The existing architecture detects BP deterioration reactively: DECLINING fires when sbp_4w_slope exceeds +2.5 mmHg/week, and ABOVE_TARGET fires when BP breaches the stratum-specific target. Both fire after the problem has established itself. What is missing is a pre-damage early warning system — one that identifies patients heading toward organ damage before the creatinine rises or the eGFR falls.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00000" w:sz="1"/>
            </w:tcBorders>
            <w:shd w:fill="FCE4D6" w:val="clear"/>
            <w:tcMar>
              <w:top w:type="dxa" w:w="120"/>
              <w:left w:type="dxa" w:w="200"/>
              <w:bottom w:type="dxa" w:w="120"/>
              <w:right w:type="dxa" w:w="160"/>
            </w:tcMar>
          </w:tcPr>
          <w:p>
            <w:pPr>
              <w:spacing w:after="80" w:before="40"/>
            </w:pPr>
            <w:r>
              <w:rPr>
                <w:rFonts w:ascii="Arial" w:cs="Arial" w:eastAsia="Arial" w:hAnsi="Arial"/>
                <w:b/>
                <w:bCs/>
                <w:i w:val="false"/>
                <w:iCs w:val="false"/>
                <w:color w:val="C00000"/>
                <w:sz w:val="20"/>
                <w:szCs w:val="20"/>
              </w:rPr>
              <w:t xml:space="preserve">Why This Gap Is Clinically Significant</w:t>
            </w:r>
          </w:p>
          <w:p>
            <w:pPr>
              <w:spacing w:after="32" w:before="32"/>
            </w:pPr>
            <w:r>
              <w:rPr>
                <w:rFonts w:ascii="Arial" w:cs="Arial" w:eastAsia="Arial" w:hAnsi="Arial"/>
                <w:b w:val="false"/>
                <w:bCs w:val="false"/>
                <w:i w:val="false"/>
                <w:iCs w:val="false"/>
                <w:color w:val="1A1A1A"/>
                <w:sz w:val="19"/>
                <w:szCs w:val="19"/>
              </w:rPr>
              <w:t xml:space="preserve">Hypertensive end-organ damage in DM+CKD is not sudden. It follows a predictable sub-clinical progression:</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1. BP slightly above target (ABOVE_TARGET) — no damage yet, but the trajectory matters.</w:t>
            </w:r>
          </w:p>
          <w:p>
            <w:pPr>
              <w:spacing w:after="32" w:before="32"/>
            </w:pPr>
            <w:r>
              <w:rPr>
                <w:rFonts w:ascii="Arial" w:cs="Arial" w:eastAsia="Arial" w:hAnsi="Arial"/>
                <w:b w:val="false"/>
                <w:bCs w:val="false"/>
                <w:i w:val="false"/>
                <w:iCs w:val="false"/>
                <w:color w:val="1A1A1A"/>
                <w:sz w:val="19"/>
                <w:szCs w:val="19"/>
              </w:rPr>
              <w:t xml:space="preserve">2. BP variability increases (stress on vessel walls even when mean is acceptable).</w:t>
            </w:r>
          </w:p>
          <w:p>
            <w:pPr>
              <w:spacing w:after="32" w:before="32"/>
            </w:pPr>
            <w:r>
              <w:rPr>
                <w:rFonts w:ascii="Arial" w:cs="Arial" w:eastAsia="Arial" w:hAnsi="Arial"/>
                <w:b w:val="false"/>
                <w:bCs w:val="false"/>
                <w:i w:val="false"/>
                <w:iCs w:val="false"/>
                <w:color w:val="1A1A1A"/>
                <w:sz w:val="19"/>
                <w:szCs w:val="19"/>
              </w:rPr>
              <w:t xml:space="preserve">3. ACR worsens — A1 to A2 transition (glomerular hypertension is the first measurable kidney hit).</w:t>
            </w:r>
          </w:p>
          <w:p>
            <w:pPr>
              <w:spacing w:after="32" w:before="32"/>
            </w:pPr>
            <w:r>
              <w:rPr>
                <w:rFonts w:ascii="Arial" w:cs="Arial" w:eastAsia="Arial" w:hAnsi="Arial"/>
                <w:b w:val="false"/>
                <w:bCs w:val="false"/>
                <w:i w:val="false"/>
                <w:iCs w:val="false"/>
                <w:color w:val="1A1A1A"/>
                <w:sz w:val="19"/>
                <w:szCs w:val="19"/>
              </w:rPr>
              <w:t xml:space="preserve">4. Pulse pressure widens (arterial stiffness accumulates — irreversible structural change).</w:t>
            </w:r>
          </w:p>
          <w:p>
            <w:pPr>
              <w:spacing w:after="32" w:before="32"/>
            </w:pPr>
            <w:r>
              <w:rPr>
                <w:rFonts w:ascii="Arial" w:cs="Arial" w:eastAsia="Arial" w:hAnsi="Arial"/>
                <w:b w:val="false"/>
                <w:bCs w:val="false"/>
                <w:i w:val="false"/>
                <w:iCs w:val="false"/>
                <w:color w:val="1A1A1A"/>
                <w:sz w:val="19"/>
                <w:szCs w:val="19"/>
              </w:rPr>
              <w:t xml:space="preserve">5. Then eGFR falls and creatinine rises — the stage Channel B catches.</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The current architecture catches stages 1 and 5. Stages 2, 3, and 4 are the early warning window — the 4-12 week period when intervention is still reversible. This is precisely where the architecture must act.</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1.1  Risk-Stratified DECLINING Alert Thresholds</w:t>
      </w:r>
    </w:p>
    <w:p>
      <w:pPr>
        <w:spacing w:after="80" w:before="60"/>
      </w:pPr>
      <w:r>
        <w:rPr>
          <w:rFonts w:ascii="Arial" w:cs="Arial" w:eastAsia="Arial" w:hAnsi="Arial"/>
          <w:b w:val="false"/>
          <w:bCs w:val="false"/>
          <w:i w:val="false"/>
          <w:iCs w:val="false"/>
          <w:color w:val="1A1A1A"/>
          <w:sz w:val="20"/>
          <w:szCs w:val="20"/>
        </w:rPr>
        <w:t xml:space="preserve">The current DECLINING status uses a single threshold: sbp_4w_slope &gt; +2.5 mmHg/week for all patients. This is the correct threshold for a DM-only patient with no CKD and no proteinuria. It is too permissive for a DM+CKD Stage 3b patient with ACR A2 or A3.</w:t>
      </w:r>
    </w:p>
    <w:p>
      <w:pPr>
        <w:spacing w:after="0" w:before="80"/>
      </w:pPr>
    </w:p>
    <w:p>
      <w:pPr>
        <w:spacing w:after="80" w:before="60"/>
      </w:pPr>
      <w:r>
        <w:rPr>
          <w:rFonts w:ascii="Arial" w:cs="Arial" w:eastAsia="Arial" w:hAnsi="Arial"/>
          <w:b w:val="false"/>
          <w:bCs w:val="false"/>
          <w:i w:val="false"/>
          <w:iCs w:val="false"/>
          <w:color w:val="1A1A1A"/>
          <w:sz w:val="20"/>
          <w:szCs w:val="20"/>
        </w:rPr>
        <w:t xml:space="preserve">The clinical reason: glomerular filtration in advanced CKD is highly pressure-sensitive. A sustained rise of +1.5 mmHg/week in a patient with eGFR 32 and macroalbuminuria will accelerate nephron loss significantly faster than the same rise in a patient with eGFR 68 and no proteinuria. Using a single slope threshold treats both patients identically when their damage trajectories are fundamentally different.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Patient Risk Stratum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DECLINING Threshold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EARLY_WATCH Tier (new, pre-DECLINING)</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Basis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DM only (no CKD, ACR A1)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sbp_4w_slope &gt; +2.5 mmHg/week (unchanged)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sbp_4w_slope &gt; +1.8 mmHg/week for 6+ weeks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Standard autoregulation intact. Room for monitoring.</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DM + CKD Stage 3a (eGFR 45-59), ACR A1</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sbp_4w_slope &gt; +2.0 mmHg/week</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sbp_4w_slope &gt; +1.4 mmHg/week for 4+ weeks</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Reduced autoregulatory reserve. Earlier warning needed.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DM + CKD Stage 3b (eGFR 30-44), any ACR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sbp_4w_slope &gt; +1.5 mmHg/week</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sbp_4w_slope &gt; +1.0 mmHg/week for 3+ weeks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Pressure-dependent perfusion. Smaller gradient = larger renal impact.</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DM + CKD any stage, ACR A2 or A3</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sbp_4w_slope &gt; +1.5 mmHg/week OR any upward slope sustained 8+ weeks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Any positive slope sustained 6+ weeks</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Glomerular hypertension already present. Any upward BP trend amplifies proteinuric damage.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Implementation: BPTrajectory Extension</w:t>
            </w:r>
          </w:p>
          <w:p>
            <w:pPr>
              <w:spacing w:after="32" w:before="32"/>
            </w:pPr>
            <w:r>
              <w:rPr>
                <w:rFonts w:ascii="Arial" w:cs="Arial" w:eastAsia="Arial" w:hAnsi="Arial"/>
                <w:b w:val="false"/>
                <w:bCs w:val="false"/>
                <w:i w:val="false"/>
                <w:iCs w:val="false"/>
                <w:color w:val="1A1A1A"/>
                <w:sz w:val="19"/>
                <w:szCs w:val="19"/>
              </w:rPr>
              <w:t xml:space="preserve">Add bp_risk_stratum: LOW | MODERATE | HIGH | VERY_HIGH computed from (eGFR_stratum × ACR_category) at the start of each KB-20 cycle.</w:t>
            </w:r>
          </w:p>
          <w:p>
            <w:pPr>
              <w:spacing w:after="32" w:before="32"/>
            </w:pPr>
            <w:r>
              <w:rPr>
                <w:rFonts w:ascii="Arial" w:cs="Arial" w:eastAsia="Arial" w:hAnsi="Arial"/>
                <w:b w:val="false"/>
                <w:bCs w:val="false"/>
                <w:i w:val="false"/>
                <w:iCs w:val="false"/>
                <w:color w:val="1A1A1A"/>
                <w:sz w:val="19"/>
                <w:szCs w:val="19"/>
              </w:rPr>
              <w:t xml:space="preserve">sbp_declining_threshold: float64 — set per patient from bp_risk_stratum table above. Passed to the DECLINING classifier.</w:t>
            </w:r>
          </w:p>
          <w:p>
            <w:pPr>
              <w:spacing w:after="32" w:before="32"/>
            </w:pPr>
            <w:r>
              <w:rPr>
                <w:rFonts w:ascii="Arial" w:cs="Arial" w:eastAsia="Arial" w:hAnsi="Arial"/>
                <w:b w:val="false"/>
                <w:bCs w:val="false"/>
                <w:i w:val="false"/>
                <w:iCs w:val="false"/>
                <w:color w:val="1A1A1A"/>
                <w:sz w:val="19"/>
                <w:szCs w:val="19"/>
              </w:rPr>
              <w:t xml:space="preserve">bp_status adds new pre-alert tier: EARLY_WATCH — slope positive and sustained, below DECLINING threshold but above stratum-specific early-watch floor.</w:t>
            </w:r>
          </w:p>
          <w:p>
            <w:pPr>
              <w:spacing w:after="32" w:before="32"/>
            </w:pPr>
            <w:r>
              <w:rPr>
                <w:rFonts w:ascii="Arial" w:cs="Arial" w:eastAsia="Arial" w:hAnsi="Arial"/>
                <w:b w:val="false"/>
                <w:bCs w:val="false"/>
                <w:i w:val="false"/>
                <w:iCs w:val="false"/>
                <w:color w:val="1A1A1A"/>
                <w:sz w:val="19"/>
                <w:szCs w:val="19"/>
              </w:rPr>
              <w:t xml:space="preserve">EARLY_WATCH does NOT generate a HYPERTENSION_REVIEW card. It increments an early_watch_weeks counter. If EARLY_WATCH persists for consecutive_threshold weeks (6 for LOW, 4 for MODERATE, 3 for HIGH) — emit BP_TRAJECTORY_CONCERN event → KB-23 HYPERTENSION_REVIEW at lowest-priority SLA (72h). Physician note: 'BP trending upward slowly. No urgent action needed. Monitor antihypertensive adherence and dietary sodium.'</w:t>
            </w:r>
          </w:p>
          <w:p>
            <w:pPr>
              <w:spacing w:after="32" w:before="32"/>
            </w:pPr>
            <w:r>
              <w:rPr>
                <w:rFonts w:ascii="Arial" w:cs="Arial" w:eastAsia="Arial" w:hAnsi="Arial"/>
                <w:b w:val="false"/>
                <w:bCs w:val="false"/>
                <w:i w:val="false"/>
                <w:iCs w:val="false"/>
                <w:color w:val="1A1A1A"/>
                <w:sz w:val="19"/>
                <w:szCs w:val="19"/>
              </w:rPr>
              <w:t xml:space="preserve">This prevents alert fatigue (EARLY_WATCH is not alarming) while ensuring high-risk patients get physician attention before the slope crosses DECLINING.</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1.2  Time-to-Threshold Projection</w:t>
      </w:r>
    </w:p>
    <w:p>
      <w:pPr>
        <w:spacing w:after="80" w:before="60"/>
      </w:pPr>
      <w:r>
        <w:rPr>
          <w:rFonts w:ascii="Arial" w:cs="Arial" w:eastAsia="Arial" w:hAnsi="Arial"/>
          <w:b w:val="false"/>
          <w:bCs w:val="false"/>
          <w:i w:val="false"/>
          <w:iCs w:val="false"/>
          <w:color w:val="1A1A1A"/>
          <w:sz w:val="20"/>
          <w:szCs w:val="20"/>
        </w:rPr>
        <w:t xml:space="preserve">sbp_4w_slope is already computed (mmHg/week) in the BPTrajectory struct. This slope can be used to project a time-to-threshold — how many weeks at the current rate of rise before the patient reaches SEVERE range or the next bp_target stratum boundary. This projection should be computed and surfaced in the KB-23 HYPERTENSION_REVIEW card, giving the physician a clinical horizon rather than just a current status.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Projection Computation</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Card Display</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Purpose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weeks_to_severe = (SEVERE_threshold − sbp_7d_mean) / sbp_4w_slope. Computed only when slope is positive and status is DECLINING or ABOVE_TARGET. Floor: 0 weeks (already severe).</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Physician card shows: 'At current rate (+2.1 mmHg/week), patient will reach severe range in approximately 6 weeks without intervention.'</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Converts abstract slope into a clinical decision timeline. Physician who sees '6 weeks' responds differently to one who sees '18 weeks'. Urgency is contextualised, not just flagged.</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slope_confidence: HIGH (≥8 readings over 4w) | MODERATE (5-7) | LOW (&lt;5). Displayed with projection.</w:t>
            </w:r>
          </w:p>
        </w:tc>
        <w:tc>
          <w:tcPr>
            <w:tcW w:type="dxa" w:w="4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If slope_confidence = LOW: card note reads: 'Projection based on limited readings — treat as indicative only.'</w:t>
            </w:r>
          </w:p>
        </w:tc>
        <w:tc>
          <w:tcPr>
            <w:tcW w:type="dxa" w:w="2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Prevents over-reliance on projections from sparse data. Clinically honest.</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1.3  Compound Sub-Clinical Damage Signal</w:t>
      </w:r>
    </w:p>
    <w:p>
      <w:pPr>
        <w:spacing w:after="80" w:before="60"/>
      </w:pPr>
      <w:r>
        <w:rPr>
          <w:rFonts w:ascii="Arial" w:cs="Arial" w:eastAsia="Arial" w:hAnsi="Arial"/>
          <w:b w:val="false"/>
          <w:bCs w:val="false"/>
          <w:i w:val="false"/>
          <w:iCs w:val="false"/>
          <w:color w:val="1A1A1A"/>
          <w:sz w:val="20"/>
          <w:szCs w:val="20"/>
        </w:rPr>
        <w:t xml:space="preserve">The HTN Amendments (Amendment 7, 9, 13) added BP variability, ACR longitudinal tracking, and pulse pressure as independent metrics. Each was specified as an individual alert. The missing piece is a compound signal that integrates all three into a single early organ damage composite — because organ damage in DM+HTN is multi-pathway, and the convergence of multiple sub-threshold signals is more meaningful than any single signal in isolation.</w:t>
      </w:r>
    </w:p>
    <w:p>
      <w:pPr>
        <w:spacing w:after="0" w:before="80"/>
      </w:pPr>
    </w:p>
    <w:p>
      <w:pPr>
        <w:spacing w:after="80" w:before="60"/>
      </w:pPr>
      <w:r>
        <w:rPr>
          <w:rFonts w:ascii="Arial" w:cs="Arial" w:eastAsia="Arial" w:hAnsi="Arial"/>
          <w:b w:val="false"/>
          <w:bCs w:val="false"/>
          <w:i w:val="false"/>
          <w:iCs w:val="false"/>
          <w:color w:val="1A1A1A"/>
          <w:sz w:val="20"/>
          <w:szCs w:val="20"/>
        </w:rPr>
        <w:t xml:space="preserve">The clinical logic: a patient whose BP is AT_TARGET but whose ACR is worsening (A1→A2), pulse pressure is widening (&gt;60 mmHg), and BP variability is HIGH has clinically significant early organ damage despite 'controlled' BP. The treating physician needs to know this combination — not three separate alerts spaced weeks apart.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Signal</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Threshold Indicating Early Damage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Score Contribution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sbp_visit_variability (from Amendment 7)</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SD &gt; 10 mmHg (MODERATE or HIGH)</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 point each for MODERATE, 2 for HIGH</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acr_trend (from Amendment 9)</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acr_trend = WORSENING (2 consecutive readings) AND on RAAS</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 point. 2 points if A2→A3 transition.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pulse_pressure_trend (from Amendment 13)</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pulse_pressure_mean &gt; 60 mmHg AND WIDENING over last 3 readings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 point each. 2 if &gt;80 mmHg.</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ABOVE_TARGET sustained ≥ 8 weeks despite adherence ≥ 0.85</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 points. 0 if AT_TARGET.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6"/>
              <w:bottom w:val="single" w:color="BF8F00" w:sz="1"/>
              <w:right w:val="single" w:color="BF8F00" w:sz="1"/>
            </w:tcBorders>
            <w:shd w:fill="FFF2CC" w:val="clear"/>
            <w:tcMar>
              <w:top w:type="dxa" w:w="120"/>
              <w:left w:type="dxa" w:w="200"/>
              <w:bottom w:type="dxa" w:w="120"/>
              <w:right w:type="dxa" w:w="160"/>
            </w:tcMar>
          </w:tcPr>
          <w:p>
            <w:pPr>
              <w:spacing w:after="80" w:before="40"/>
            </w:pPr>
            <w:r>
              <w:rPr>
                <w:rFonts w:ascii="Arial" w:cs="Arial" w:eastAsia="Arial" w:hAnsi="Arial"/>
                <w:b/>
                <w:bCs/>
                <w:i w:val="false"/>
                <w:iCs w:val="false"/>
                <w:color w:val="BF8F00"/>
                <w:sz w:val="20"/>
                <w:szCs w:val="20"/>
              </w:rPr>
              <w:t xml:space="preserve">Compound Damage Score Computation in KB-20</w:t>
            </w:r>
          </w:p>
          <w:p>
            <w:pPr>
              <w:spacing w:after="32" w:before="32"/>
            </w:pPr>
            <w:r>
              <w:rPr>
                <w:rFonts w:ascii="Arial" w:cs="Arial" w:eastAsia="Arial" w:hAnsi="Arial"/>
                <w:b w:val="false"/>
                <w:bCs w:val="false"/>
                <w:i w:val="false"/>
                <w:iCs w:val="false"/>
                <w:color w:val="1A1A1A"/>
                <w:sz w:val="19"/>
                <w:szCs w:val="19"/>
              </w:rPr>
              <w:t xml:space="preserve">damage_concern_score: int — sum of individual signal scores above. Range 0-8.</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Score 0-2: No early damage concern. Normal trajectory monitoring.</w:t>
            </w:r>
          </w:p>
          <w:p>
            <w:pPr>
              <w:spacing w:after="32" w:before="32"/>
            </w:pPr>
            <w:r>
              <w:rPr>
                <w:rFonts w:ascii="Arial" w:cs="Arial" w:eastAsia="Arial" w:hAnsi="Arial"/>
                <w:b w:val="false"/>
                <w:bCs w:val="false"/>
                <w:i w:val="false"/>
                <w:iCs w:val="false"/>
                <w:color w:val="1A1A1A"/>
                <w:sz w:val="19"/>
                <w:szCs w:val="19"/>
              </w:rPr>
              <w:t xml:space="preserve">Score 3-4: SUBCLINICAL_CONCERN — KB-20 emits BP_SUBCLINICAL_CONCERN event. KB-23 generates HYPERTENSION_REVIEW (72h SLA): 'Multiple early markers suggest sub-clinical hypertensive stress (variability + proteinuria trend + pulse pressure). BP appears controlled by mean value but the combination of signals warrants review of antihypertensive regimen intensity.'</w:t>
            </w:r>
          </w:p>
          <w:p>
            <w:pPr>
              <w:spacing w:after="32" w:before="32"/>
            </w:pPr>
            <w:r>
              <w:rPr>
                <w:rFonts w:ascii="Arial" w:cs="Arial" w:eastAsia="Arial" w:hAnsi="Arial"/>
                <w:b w:val="false"/>
                <w:bCs w:val="false"/>
                <w:i w:val="false"/>
                <w:iCs w:val="false"/>
                <w:color w:val="1A1A1A"/>
                <w:sz w:val="19"/>
                <w:szCs w:val="19"/>
              </w:rPr>
              <w:t xml:space="preserve">Score ≥ 5: DAMAGE_COMPOSITE_ALERT — KB-23 generates HYPERTENSION_REVIEW (24h SLA) flagged as HIGH PRIORITY. This is the most important early warning flag in the architecture — it fires before eGFR decline, before creatinine rise, before any Channel B safety rule triggers.</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Compound score resets when all contributing signals normalise. SafetyTrace records the score breakdown so the physician sees which signals contributed.</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1.4  Non-Renal Early Damage Markers (Out-of-Scope for v1, Specify for v2)</w:t>
      </w:r>
    </w:p>
    <w:p>
      <w:pPr>
        <w:spacing w:after="80" w:before="60"/>
      </w:pPr>
      <w:r>
        <w:rPr>
          <w:rFonts w:ascii="Arial" w:cs="Arial" w:eastAsia="Arial" w:hAnsi="Arial"/>
          <w:b w:val="false"/>
          <w:bCs w:val="false"/>
          <w:i w:val="false"/>
          <w:iCs w:val="false"/>
          <w:color w:val="1A1A1A"/>
          <w:sz w:val="20"/>
          <w:szCs w:val="20"/>
        </w:rPr>
        <w:t xml:space="preserve">The current architecture's early damage signals are all renal (ACR, eGFR, creatinine). Hypertension also damages two other organs before clinical events occur: the heart (left ventricular hypertrophy — LVH) and the eyes (hypertensive retinopathy). These are not actionable from WhatsApp-reported data in v1, but the architecture should reserve data fields for them and define what would trigger a specialist referral suggestion when imaging or clinical examination data becomes available.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Organ</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Earliest Measurable Marker</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v1 Status — v2 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Heart (LVH)</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ECG voltage criteria (Sokolow-Lyon) or echocardiography LV mass index. Clinical symptom proxy: exertional dyspnoea, orthopnoea.</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v1: KB-22 node for exertional dyspnoea already covers this partially. Add cardiac_strain_suspected flag when dyspnoea + SEVERE bp_status co-occur. v2: if ECG or echo result available as FHIR observation, compute LVH flag → specialist referral KB-23 card.</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Eyes (retinopathy)</w:t>
            </w:r>
          </w:p>
        </w:tc>
        <w:tc>
          <w:tcPr>
            <w:tcW w:type="dxa" w:w="3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Fundoscopy — not available in WhatsApp-based workflow.</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v1: KB-22 node for visual disturbance already exists (HTN Proposal §4.1). Add specialist_referral_needed flag when visual disturbance + ABOVE_TARGET status ≥ 12 weeks → ophthalmology referral note in HYPERTENSION_REVIEW card. v2: if retinal photo AI integration becomes available, parse grade.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Brain (silent strokes)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MRI — not available. Clinical proxy: new cognitive symptoms, new focal neurology.</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v1: KB-22 red flag sweep already catches focal neurological deficit. Ensure existing HARD_STOP nodes cover sudden cognitive change. No new architecture needed.</w:t>
            </w:r>
          </w:p>
        </w:tc>
      </w:tr>
    </w:tbl>
    <w:p>
      <w:pPr>
        <w:spacing w:after="0" w:before="160"/>
      </w:pPr>
    </w:p>
    <w:p>
      <w:pPr>
        <w:pBdr>
          <w:bottom w:val="single" w:color="2E75B6" w:sz="6"/>
        </w:pBdr>
        <w:spacing w:after="160" w:before="160"/>
      </w:pPr>
    </w:p>
    <w:p>
      <w:r>
        <w:br w:type="page"/>
      </w:r>
    </w:p>
    <w:p>
      <w:pPr>
        <w:pStyle w:val="Heading1"/>
        <w:spacing w:after="100" w:before="300"/>
      </w:pPr>
      <w:r>
        <w:rPr>
          <w:rFonts w:ascii="Arial" w:cs="Arial" w:eastAsia="Arial" w:hAnsi="Arial"/>
          <w:b/>
          <w:bCs/>
          <w:i w:val="false"/>
          <w:iCs w:val="false"/>
          <w:color w:val="1F4E79"/>
          <w:sz w:val="34"/>
          <w:szCs w:val="34"/>
        </w:rPr>
        <w:t xml:space="preserve">Part 2 — Antihypertensive Deprescribing: Operational Specification</w:t>
      </w:r>
    </w:p>
    <w:p>
      <w:pPr>
        <w:spacing w:after="80" w:before="60"/>
      </w:pPr>
      <w:r>
        <w:rPr>
          <w:rFonts w:ascii="Arial" w:cs="Arial" w:eastAsia="Arial" w:hAnsi="Arial"/>
          <w:b w:val="false"/>
          <w:bCs w:val="false"/>
          <w:i w:val="false"/>
          <w:iCs w:val="false"/>
          <w:color w:val="1A1A1A"/>
          <w:sz w:val="20"/>
          <w:szCs w:val="20"/>
        </w:rPr>
        <w:t xml:space="preserve">The HTN Proposal (Sections 3.4 and 5.3) establishes the correct skeleton: entry condition (SBP at target 16 weeks), deprescribing hierarchy (Thiazide → CCB → Beta-blocker → ACEi/ARB dose-reduce), and exit condition (SBP rises &gt;10 mmHg → revert). What is missing is the operational flesh: the step-down monitoring protocol, the adherence preconditions, the dose-halving logic, the SGLT2i buffer accounting, and the re-escalation pathway.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00000" w:sz="1"/>
            </w:tcBorders>
            <w:shd w:fill="FCE4D6" w:val="clear"/>
            <w:tcMar>
              <w:top w:type="dxa" w:w="120"/>
              <w:left w:type="dxa" w:w="200"/>
              <w:bottom w:type="dxa" w:w="120"/>
              <w:right w:type="dxa" w:w="160"/>
            </w:tcMar>
          </w:tcPr>
          <w:p>
            <w:pPr>
              <w:spacing w:after="80" w:before="40"/>
            </w:pPr>
            <w:r>
              <w:rPr>
                <w:rFonts w:ascii="Arial" w:cs="Arial" w:eastAsia="Arial" w:hAnsi="Arial"/>
                <w:b/>
                <w:bCs/>
                <w:i w:val="false"/>
                <w:iCs w:val="false"/>
                <w:color w:val="C00000"/>
                <w:sz w:val="20"/>
                <w:szCs w:val="20"/>
              </w:rPr>
              <w:t xml:space="preserve">Why Antihypertensive Deprescribing Is Harder Than Diabetes Drug Deprescribing</w:t>
            </w:r>
          </w:p>
          <w:p>
            <w:pPr>
              <w:spacing w:after="32" w:before="32"/>
            </w:pPr>
            <w:r>
              <w:rPr>
                <w:rFonts w:ascii="Arial" w:cs="Arial" w:eastAsia="Arial" w:hAnsi="Arial"/>
                <w:b w:val="false"/>
                <w:bCs w:val="false"/>
                <w:i w:val="false"/>
                <w:iCs w:val="false"/>
                <w:color w:val="1A1A1A"/>
                <w:sz w:val="19"/>
                <w:szCs w:val="19"/>
              </w:rPr>
              <w:t xml:space="preserve">Diabetes drug deprescribing (e.g., removing sulfonylurea when HbA1c &lt;7.0%) has a relatively smooth pharmacokinetic reversal — HbA1c rises gradually and predictably. The monitoring window is measured in weeks.</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Antihypertensive deprescribing has three complicating dynamics:</w:t>
            </w:r>
          </w:p>
          <w:p>
            <w:pPr>
              <w:spacing w:after="32" w:before="32"/>
            </w:pPr>
            <w:r>
              <w:rPr>
                <w:rFonts w:ascii="Arial" w:cs="Arial" w:eastAsia="Arial" w:hAnsi="Arial"/>
                <w:b w:val="false"/>
                <w:bCs w:val="false"/>
                <w:i w:val="false"/>
                <w:iCs w:val="false"/>
                <w:color w:val="1A1A1A"/>
                <w:sz w:val="19"/>
                <w:szCs w:val="19"/>
              </w:rPr>
              <w:t xml:space="preserve">1. BP can rebound faster than glucose — removing a thiazide may cause a clinically significant BP rise within 5-10 days, not weeks.</w:t>
            </w:r>
          </w:p>
          <w:p>
            <w:pPr>
              <w:spacing w:after="32" w:before="32"/>
            </w:pPr>
            <w:r>
              <w:rPr>
                <w:rFonts w:ascii="Arial" w:cs="Arial" w:eastAsia="Arial" w:hAnsi="Arial"/>
                <w:b w:val="false"/>
                <w:bCs w:val="false"/>
                <w:i w:val="false"/>
                <w:iCs w:val="false"/>
                <w:color w:val="1A1A1A"/>
                <w:sz w:val="19"/>
                <w:szCs w:val="19"/>
              </w:rPr>
              <w:t xml:space="preserve">2. The cause-effect is harder to attribute — if BP rises after thiazide removal, is it the drug removal, reduced adherence to remaining drugs, dietary sodium change, or seasonal heat?</w:t>
            </w:r>
          </w:p>
          <w:p>
            <w:pPr>
              <w:spacing w:after="32" w:before="32"/>
            </w:pPr>
            <w:r>
              <w:rPr>
                <w:rFonts w:ascii="Arial" w:cs="Arial" w:eastAsia="Arial" w:hAnsi="Arial"/>
                <w:b w:val="false"/>
                <w:bCs w:val="false"/>
                <w:i w:val="false"/>
                <w:iCs w:val="false"/>
                <w:color w:val="1A1A1A"/>
                <w:sz w:val="19"/>
                <w:szCs w:val="19"/>
              </w:rPr>
              <w:t xml:space="preserve">3. Drug class interactions mean the order of removal matters for safety — removing a thiazide before a beta-blocker in a patient without cardiac indication has different haemodynamic consequences than removing a CCB first.</w:t>
            </w:r>
          </w:p>
          <w:p>
            <w:pPr>
              <w:spacing w:after="32" w:before="32"/>
            </w:pPr>
            <w:r>
              <w:rPr>
                <w:rFonts w:ascii="Arial" w:cs="Arial" w:eastAsia="Arial" w:hAnsi="Arial"/>
                <w:b w:val="false"/>
                <w:bCs w:val="false"/>
                <w:i w:val="false"/>
                <w:iCs w:val="false"/>
                <w:color w:val="1A1A1A"/>
                <w:sz w:val="19"/>
                <w:szCs w:val="19"/>
              </w:rPr>
              <w:t xml:space="preserve">These dynamics require a more structured step-down protocol than the existing DM deprescribing pathway.</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2.1  Adherence Pre-Condition (Gate Before Entry)</w:t>
      </w:r>
    </w:p>
    <w:p>
      <w:pPr>
        <w:spacing w:after="80" w:before="60"/>
      </w:pPr>
      <w:r>
        <w:rPr>
          <w:rFonts w:ascii="Arial" w:cs="Arial" w:eastAsia="Arial" w:hAnsi="Arial"/>
          <w:b w:val="false"/>
          <w:bCs w:val="false"/>
          <w:i w:val="false"/>
          <w:iCs w:val="false"/>
          <w:color w:val="1A1A1A"/>
          <w:sz w:val="20"/>
          <w:szCs w:val="20"/>
        </w:rPr>
        <w:t xml:space="preserve">A patient who has 60% antihypertensive adherence and appears BP-controlled does not have sustained BP control — they have intermittent control from intermittent dosing. Deprescribing in this patient will cause BP to rise, but the cause will be ambiguous: was it the removed drug, or the fact that the remaining drugs are also being taken only 60% of the time? This makes clinical attribution impossible and the deprescribing clinically invalid.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Adherence Pre-Condition for HTN DEPRESCRIBING_MODE Entry</w:t>
            </w:r>
          </w:p>
          <w:p>
            <w:pPr>
              <w:spacing w:after="32" w:before="32"/>
            </w:pPr>
            <w:r>
              <w:rPr>
                <w:rFonts w:ascii="Arial" w:cs="Arial" w:eastAsia="Arial" w:hAnsi="Arial"/>
                <w:b w:val="false"/>
                <w:bCs w:val="false"/>
                <w:i w:val="false"/>
                <w:iCs w:val="false"/>
                <w:color w:val="1A1A1A"/>
                <w:sz w:val="19"/>
                <w:szCs w:val="19"/>
              </w:rPr>
              <w:t xml:space="preserve">Existing entry condition (from HTN Proposal): SBP at target for 16+ consecutive weeks.</w:t>
            </w:r>
          </w:p>
          <w:p>
            <w:pPr>
              <w:spacing w:after="32" w:before="32"/>
            </w:pPr>
            <w:r>
              <w:rPr>
                <w:rFonts w:ascii="Arial" w:cs="Arial" w:eastAsia="Arial" w:hAnsi="Arial"/>
                <w:b w:val="false"/>
                <w:bCs w:val="false"/>
                <w:i w:val="false"/>
                <w:iCs w:val="false"/>
                <w:color w:val="1A1A1A"/>
                <w:sz w:val="19"/>
                <w:szCs w:val="19"/>
              </w:rPr>
              <w:t xml:space="preserve">Add mandatory pre-condition: antihypertensive_adherence (from KB-21 Amendment 4 track) ≥ 0.85 for the same 16-week window.</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If adherence is 0.70-0.84 and BP appears controlled: do not generate DEPRESCRIBING_PROPOSAL. Generate MEDICATION_REVIEW card: 'BP appears controlled but adherence is suboptimal. Confirm sustained control at ≥85% adherence before considering step-down.'</w:t>
            </w:r>
          </w:p>
          <w:p>
            <w:pPr>
              <w:spacing w:after="32" w:before="32"/>
            </w:pPr>
            <w:r>
              <w:rPr>
                <w:rFonts w:ascii="Arial" w:cs="Arial" w:eastAsia="Arial" w:hAnsi="Arial"/>
                <w:b w:val="false"/>
                <w:bCs w:val="false"/>
                <w:i w:val="false"/>
                <w:iCs w:val="false"/>
                <w:color w:val="1A1A1A"/>
                <w:sz w:val="19"/>
                <w:szCs w:val="19"/>
              </w:rPr>
              <w:t xml:space="preserve">If adherence is &lt;0.70: BP control cannot be attributed to the current regimen. Do not enter DEPRESCRIBING_MODE.</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Lifestyle attribution bonus: if salt_reduction_potential has changed from HIGH to LOW (Amendment 12 — patient has demonstrably reduced dietary sodium) in the same period AND bp_status is AT_TARGET, the 16-week window can be reduced to 12 weeks. Lifestyle-driven control is more durable than medication-driven control at the margin.</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2.2  SGLT2i Buffer Accounting</w:t>
      </w:r>
    </w:p>
    <w:p>
      <w:pPr>
        <w:spacing w:after="80" w:before="60"/>
      </w:pPr>
      <w:r>
        <w:rPr>
          <w:rFonts w:ascii="Arial" w:cs="Arial" w:eastAsia="Arial" w:hAnsi="Arial"/>
          <w:b w:val="false"/>
          <w:bCs w:val="false"/>
          <w:i w:val="false"/>
          <w:iCs w:val="false"/>
          <w:color w:val="1A1A1A"/>
          <w:sz w:val="20"/>
          <w:szCs w:val="20"/>
        </w:rPr>
        <w:t xml:space="preserve">SGLT2i provides approximately 3-5 mmHg SBP reduction as a secondary pharmacological effect. When SGLT2i is active and contributing to BP control, removing a thiazide removes one BP-lowering mechanism while a second (SGLT2i) remains. The net BP rise after thiazide removal is smaller in the presence of active SGLT2i. Conversely, if SGLT2i has recently been stopped (PG-02 firing when eGFR drops to threshold), there is no SGLT2i buffer and the full thiazide BP contribution is at risk.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SGLT2i Status at Deprescribing Entry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Effect on Thiazide Step-Down Safety</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KB-23 Card Behaviour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 active, on drug ≥ 8 weeks (stable contribution)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buffer ~3-5 mmHg from SGLT2i remains after thiazide removal. Safer step-down.</w:t>
            </w:r>
          </w:p>
        </w:tc>
        <w:tc>
          <w:tcPr>
            <w:tcW w:type="dxa" w:w="41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Standard step-down protocol. Card note: 'SGLT2i is providing concurrent BP lowering. Buffer exists for thiazide removal.'</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 recently stopped (within 6 weeks)</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has already risen or will rise from SGLT2i removal. Removing thiazide compounds this.</w:t>
            </w:r>
          </w:p>
        </w:tc>
        <w:tc>
          <w:tcPr>
            <w:tcW w:type="dxa" w:w="41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DEPRESCRIBING_PROPOSAL withheld. Card note: 'SGLT2i was recently stopped. BP may already be rising from this. Defer antihypertensive step-down until BP stability is re-established for 12 weeks after SGLT2i removal.'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 never prescribed (and eGFR ≥ 30, ACR ≥ A2)</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SGLT2i buffer. Full thiazide contribution to BP is at risk.</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Standard step-down but note in card: 'SGLT2i not prescribed — consider whether SGLT2i is indicated before removing thiazide, as SGLT2i would provide renal protection and partial BP buffer simultaneously.'</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2.3  Dose Halving Before Drug Removal</w:t>
      </w:r>
    </w:p>
    <w:p>
      <w:pPr>
        <w:spacing w:after="80" w:before="60"/>
      </w:pPr>
      <w:r>
        <w:rPr>
          <w:rFonts w:ascii="Arial" w:cs="Arial" w:eastAsia="Arial" w:hAnsi="Arial"/>
          <w:b w:val="false"/>
          <w:bCs w:val="false"/>
          <w:i w:val="false"/>
          <w:iCs w:val="false"/>
          <w:color w:val="1A1A1A"/>
          <w:sz w:val="20"/>
          <w:szCs w:val="20"/>
        </w:rPr>
        <w:t xml:space="preserve">The existing deprescribing hierarchy specifies which drug class to remove in which order. It does not specify that dose should be halved before the drug is removed. This is an important distinction: abrupt removal of a full-dose antihypertensive risks a rebound BP surge, while dose halving over a monitoring period tests the patient's BP response before complete withdrawal. This is standard clinical practice and must be encoded architecturally.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Drug Class</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Step-Down Sequence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Rationale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 (e.g., HCTZ 25 mg)</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Step 1: Reduce to 12.5 mg. Monitor 4 weeks. If BP AT_TARGET → Step 2: Remove completely. If bp_status rises to ABOVE_TARGET at 12.5 mg → hold at 12.5 mg, do not proceed to removal.</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 has a dose-response curve — halving the dose often retains 60-70% of the BP effect. Abrupt removal risks 5-8 mmHg SBP rebound.</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CCB (e.g., amlodipine 10 mg)</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Step 1: Reduce to 5 mg. Monitor 4 weeks. If AT_TARGET → Step 2: Remove. If ankle oedema resolves at 5 mg but BP rises → hold at 5 mg.</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CCBs have a long half-life (amlodipine t½ ~35-50h). BP rebound after removal is slower but can be significant (4-6 mmHg).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Beta-blocker (if for HTN only)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Step 1: Halve dose. Monitor 6 weeks (longer — beta-blocker withdrawal can cause rebound tachycardia and BP surge).  Step 2: Remove.</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Beta-blocker withdrawal without dose tapering can cause rebound hypertension and tachycardia — clinically important especially if patient exercises.</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ACEi/ARB dose reduction</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Reduce by one dose step (e.g., ramipril 10→5 mg). Monitor 6 weeks. Re-assess ACR at 6 weeks. If ACR worsens even with BP AT_TARGET → return to full dose.</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ACEi/ARB renal protection is partially independent of BP — ACR can worsen after dose reduction even if BP remains controlled. ACR must be monitored, not just BP.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6"/>
              <w:bottom w:val="single" w:color="6A0DAD" w:sz="1"/>
              <w:right w:val="single" w:color="6A0DAD" w:sz="1"/>
            </w:tcBorders>
            <w:shd w:fill="F3E5F5" w:val="clear"/>
            <w:tcMar>
              <w:top w:type="dxa" w:w="120"/>
              <w:left w:type="dxa" w:w="200"/>
              <w:bottom w:type="dxa" w:w="120"/>
              <w:right w:type="dxa" w:w="160"/>
            </w:tcMar>
          </w:tcPr>
          <w:p>
            <w:pPr>
              <w:spacing w:after="80" w:before="40"/>
            </w:pPr>
            <w:r>
              <w:rPr>
                <w:rFonts w:ascii="Arial" w:cs="Arial" w:eastAsia="Arial" w:hAnsi="Arial"/>
                <w:b/>
                <w:bCs/>
                <w:i w:val="false"/>
                <w:iCs w:val="false"/>
                <w:color w:val="6A0DAD"/>
                <w:sz w:val="20"/>
                <w:szCs w:val="20"/>
              </w:rPr>
              <w:t xml:space="preserve">Implementation in KB-23 DEPRESCRIBING_PROPOSAL Card</w:t>
            </w:r>
          </w:p>
          <w:p>
            <w:pPr>
              <w:spacing w:after="32" w:before="32"/>
            </w:pPr>
            <w:r>
              <w:rPr>
                <w:rFonts w:ascii="Arial" w:cs="Arial" w:eastAsia="Arial" w:hAnsi="Arial"/>
                <w:b w:val="false"/>
                <w:bCs w:val="false"/>
                <w:i w:val="false"/>
                <w:iCs w:val="false"/>
                <w:color w:val="1A1A1A"/>
                <w:sz w:val="19"/>
                <w:szCs w:val="19"/>
              </w:rPr>
              <w:t xml:space="preserve">The DEPRESCRIBING_PROPOSAL for antihypertensives must specify TWO physician actions, not one:</w:t>
            </w:r>
          </w:p>
          <w:p>
            <w:pPr>
              <w:spacing w:after="32" w:before="32"/>
            </w:pPr>
            <w:r>
              <w:rPr>
                <w:rFonts w:ascii="Arial" w:cs="Arial" w:eastAsia="Arial" w:hAnsi="Arial"/>
                <w:b w:val="false"/>
                <w:bCs w:val="false"/>
                <w:i w:val="false"/>
                <w:iCs w:val="false"/>
                <w:color w:val="1A1A1A"/>
                <w:sz w:val="19"/>
                <w:szCs w:val="19"/>
              </w:rPr>
              <w:t xml:space="preserve">Action 1 (Step-Down): Approve dose reduction to [X mg]. Monitoring window: [4 or 6 weeks per class].</w:t>
            </w:r>
          </w:p>
          <w:p>
            <w:pPr>
              <w:spacing w:after="32" w:before="32"/>
            </w:pPr>
            <w:r>
              <w:rPr>
                <w:rFonts w:ascii="Arial" w:cs="Arial" w:eastAsia="Arial" w:hAnsi="Arial"/>
                <w:b w:val="false"/>
                <w:bCs w:val="false"/>
                <w:i w:val="false"/>
                <w:iCs w:val="false"/>
                <w:color w:val="1A1A1A"/>
                <w:sz w:val="19"/>
                <w:szCs w:val="19"/>
              </w:rPr>
              <w:t xml:space="preserve">Action 2 (Removal): Available only after Action 1 monitoring window passes AND BP remains AT_TARGET.</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KB-23 card_lifecycle.go background job: at monitoring window expiry, re-evaluate bp_status. If AT_TARGET → automatically generate Action 2 card for physician. If ABOVE_TARGET → close the deprescribing card, generate HYPERTENSION_REVIEW.</w:t>
            </w:r>
          </w:p>
          <w:p>
            <w:pPr>
              <w:spacing w:after="32" w:before="32"/>
            </w:pPr>
            <w:r>
              <w:rPr>
                <w:rFonts w:ascii="Arial" w:cs="Arial" w:eastAsia="Arial" w:hAnsi="Arial"/>
                <w:b w:val="false"/>
                <w:bCs w:val="false"/>
                <w:i w:val="false"/>
                <w:iCs w:val="false"/>
                <w:color w:val="1A1A1A"/>
                <w:sz w:val="19"/>
                <w:szCs w:val="19"/>
              </w:rPr>
              <w:t xml:space="preserve">This is the only architecture in the system where two sequential physician actions are encoded in a single deprescribing trajectory. The state machine is: DOSE_REDUCTION_PROPOSED → DOSE_REDUCTION_APPROVED → MONITORING → REMOVAL_PROPOSED or STEP_DOWN_FAILED.</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2.4  Post-Step-Down Monitoring Protocol</w:t>
      </w:r>
    </w:p>
    <w:p>
      <w:pPr>
        <w:spacing w:after="80" w:before="60"/>
      </w:pPr>
      <w:r>
        <w:rPr>
          <w:rFonts w:ascii="Arial" w:cs="Arial" w:eastAsia="Arial" w:hAnsi="Arial"/>
          <w:b w:val="false"/>
          <w:bCs w:val="false"/>
          <w:i w:val="false"/>
          <w:iCs w:val="false"/>
          <w:color w:val="1A1A1A"/>
          <w:sz w:val="20"/>
          <w:szCs w:val="20"/>
        </w:rPr>
        <w:t xml:space="preserve">After each dose reduction, the system needs a defined BP monitoring cadence — how frequently should readings be checked and what constitutes a failure of the step-down? The current specification says only: 'SBP rises &gt;10 mmHg above target after step-down → revert + HYPERTENSION_REVIEW.' This is the exit condition but not the monitoring protocol that enables the exit condition to be detected.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Drug Removed</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Monitoring Cadence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Failure Threshold — Revert Condition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 dose halved (Step 1)</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Tier-1 weekly BP check for 4 weeks after dose reduction. KB-20 sbp_7d_mean recomputed at day 14 and day 28.</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If sbp_7d_mean rises ≥8 mmHg above baseline at any point in the 4-week window → STEP_DOWN_FAILED. Restore full dose. HYPERTENSION_REVIEW card within 48h.</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 removed (Step 2)</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Weekly Tier-1 BP for 4 weeks. Clinic reading at week 4 (if available).</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If sbp_7d_mean rises ≥10 mmHg above target (not above baseline — see below) at any point → STEP_DOWN_FAILED. Restart thiazide at lowest effective dose.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CCB dose halved or removed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Weekly Tier-1 BP for 4 weeks. Watch for ankle oedema resolution (favourable indicator).</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rise ≥10 mmHg above target. Note: CCB removal may also reduce ankle oedema — if oedema resolves without BP rise, this is a successful step-down even at lower dose.</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Beta-blocker dose halved</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Weekly Tier-1 BP AND weekly HR (via VitalFact, Amendment 3). For 6 weeks.</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rise ≥10 mmHg above target OR HR &gt;100 resting (rebound tachycardia). If rebound tachycardia alone: monitor one week — may be transient. If persistent HR &gt;100 at 2 weeks: restart beta-blocker.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ACEi/ARB dose reduced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Monthly ACR recheck (not just BP). BP weekly for 6 weeks.</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rise ≥10 mmHg above target OR ACR worsening (category step-up, e.g., A2→A3). ACR worsening overrides stable BP — restore full RAAS dose regardless of BP status.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6"/>
              <w:bottom w:val="single" w:color="BF8F00" w:sz="1"/>
              <w:right w:val="single" w:color="BF8F00" w:sz="1"/>
            </w:tcBorders>
            <w:shd w:fill="FFF2CC" w:val="clear"/>
            <w:tcMar>
              <w:top w:type="dxa" w:w="120"/>
              <w:left w:type="dxa" w:w="200"/>
              <w:bottom w:type="dxa" w:w="120"/>
              <w:right w:type="dxa" w:w="160"/>
            </w:tcMar>
          </w:tcPr>
          <w:p>
            <w:pPr>
              <w:spacing w:after="80" w:before="40"/>
            </w:pPr>
            <w:r>
              <w:rPr>
                <w:rFonts w:ascii="Arial" w:cs="Arial" w:eastAsia="Arial" w:hAnsi="Arial"/>
                <w:b/>
                <w:bCs/>
                <w:i w:val="false"/>
                <w:iCs w:val="false"/>
                <w:color w:val="BF8F00"/>
                <w:sz w:val="20"/>
                <w:szCs w:val="20"/>
              </w:rPr>
              <w:t xml:space="preserve">The ≥10 mmHg Rule: An Important Clarification</w:t>
            </w:r>
          </w:p>
          <w:p>
            <w:pPr>
              <w:spacing w:after="32" w:before="32"/>
            </w:pPr>
            <w:r>
              <w:rPr>
                <w:rFonts w:ascii="Arial" w:cs="Arial" w:eastAsia="Arial" w:hAnsi="Arial"/>
                <w:b w:val="false"/>
                <w:bCs w:val="false"/>
                <w:i w:val="false"/>
                <w:iCs w:val="false"/>
                <w:color w:val="1A1A1A"/>
                <w:sz w:val="19"/>
                <w:szCs w:val="19"/>
              </w:rPr>
              <w:t xml:space="preserve">The exit condition in the HTN Proposal is 'SBP rises &gt;10 mmHg above target after step-down.' This must be interpreted correctly.</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WRONG interpretation: patient was at SBP 118 (target 130), thiazide removed, BP rises to 129 — a 11 mmHg rise, but still within target. This should NOT trigger reversal.</w:t>
            </w:r>
          </w:p>
          <w:p>
            <w:pPr>
              <w:spacing w:after="32" w:before="32"/>
            </w:pPr>
            <w:r>
              <w:rPr>
                <w:rFonts w:ascii="Arial" w:cs="Arial" w:eastAsia="Arial" w:hAnsi="Arial"/>
                <w:b w:val="false"/>
                <w:bCs w:val="false"/>
                <w:i w:val="false"/>
                <w:iCs w:val="false"/>
                <w:color w:val="1A1A1A"/>
                <w:sz w:val="19"/>
                <w:szCs w:val="19"/>
              </w:rPr>
              <w:t xml:space="preserve">CORRECT interpretation: SBP rises to ≥10 mmHg above target, i.e., SBP &gt; (bp_target.sbp + 10). For a patient with target 130/80, failure threshold is SBP &gt; 140.</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Implementation: failure_threshold = bp_target.sbp + 10. NOT baseline + 10.</w:t>
            </w:r>
          </w:p>
          <w:p>
            <w:pPr>
              <w:spacing w:after="32" w:before="32"/>
            </w:pPr>
            <w:r>
              <w:rPr>
                <w:rFonts w:ascii="Arial" w:cs="Arial" w:eastAsia="Arial" w:hAnsi="Arial"/>
                <w:b w:val="false"/>
                <w:bCs w:val="false"/>
                <w:i w:val="false"/>
                <w:iCs w:val="false"/>
                <w:color w:val="1A1A1A"/>
                <w:sz w:val="19"/>
                <w:szCs w:val="19"/>
              </w:rPr>
              <w:t xml:space="preserve">KB-20 must track pre-step-down baseline separately from bp_target for the monitoring window.</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2.5  Re-Escalation Pathway After Step-Down Failure</w:t>
      </w:r>
    </w:p>
    <w:p>
      <w:pPr>
        <w:spacing w:after="80" w:before="60"/>
      </w:pPr>
      <w:r>
        <w:rPr>
          <w:rFonts w:ascii="Arial" w:cs="Arial" w:eastAsia="Arial" w:hAnsi="Arial"/>
          <w:b w:val="false"/>
          <w:bCs w:val="false"/>
          <w:i w:val="false"/>
          <w:iCs w:val="false"/>
          <w:color w:val="1A1A1A"/>
          <w:sz w:val="20"/>
          <w:szCs w:val="20"/>
        </w:rPr>
        <w:t xml:space="preserve">When a step-down fails (BP rises above the failure threshold), the current specification says 'revert + HYPERTENSION_REVIEW.' The re-escalation pathway — what happens next — is not specified. This matters because STEP_DOWN_FAILED is a different clinical event from a de novo ABOVE_TARGET event. The physician reviewing it has more information: they know the drug was recently removed, they know the BP was previously controlled, and they know the patient can be managed at the previous dose.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Scenario</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Current Specification</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Proposed Re-Escalation Behaviour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 Step 1 fails (at half-dose)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Revert + HYPERTENSION_REVIEW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Restore to full dose. HYPERTENSION_REVIEW card: 'Thiazide dose reduction failed. BP rose [X] mmHg at half-dose. Patient is not a candidate for thiazide reduction at this time. Re-attempt in 6 months if BP remains stable at full dose.'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 Step 2 fails (after full removal)</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Revert + HYPERTENSION_REVIEW</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Restart at lowest effective dose (12.5 mg, not full dose). HYPERTENSION_REVIEW card: 'BP rose [X] mmHg after thiazide removal. Restarting at 12.5 mg. Reassess in 90 days — if BP stable at 12.5 mg for 12 weeks, may retry removal.'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CCB removal fails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Revert + HYPERTENSION_REVIEW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Restart at lowest effective dose. Note in card whether ankle oedema returned — if oedema was the reason to deprescribe and BP rose on removal, physician faces a trade-off between oedema (quality of life) and BP control (outcome). KB-23 card should explicitly surface this trade-off.</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Beta-blocker removal fails with rebound tachycardia</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Revert + HYPERTENSION_REVIEW</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Restart at half-dose, not full dose. Taper restart. Card note: 'Rebound tachycardia suggests catecholamine supersensitivity — restart at lower dose and taper upward. Full abrupt restart may overshoot.'</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2.6  CKD-Stage Constraints on the Deprescribing Hierarchy</w:t>
      </w:r>
    </w:p>
    <w:p>
      <w:pPr>
        <w:spacing w:after="80" w:before="60"/>
      </w:pPr>
      <w:r>
        <w:rPr>
          <w:rFonts w:ascii="Arial" w:cs="Arial" w:eastAsia="Arial" w:hAnsi="Arial"/>
          <w:b w:val="false"/>
          <w:bCs w:val="false"/>
          <w:i w:val="false"/>
          <w:iCs w:val="false"/>
          <w:color w:val="1A1A1A"/>
          <w:sz w:val="20"/>
          <w:szCs w:val="20"/>
        </w:rPr>
        <w:t xml:space="preserve">The J-curve problem (Amendment 8) established that CKD Stage 3b+ patients need higher SBP lower limits because their kidneys are pressure-dependent. This has a direct implication for antihypertensive deprescribing: a patient at CKD Stage 3b may already be at the lower limit of their safe BP window. Removing any antihypertensive drug risks bringing BP from controlled (AT_TARGET) to below the J-curve floor, which worsens renal perfusion.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CKD Stage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Deprescribing Eligibility Modification</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Basis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Stage 1-2 (eGFR &gt;60)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modification. Standard hierarchy applies.</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Full autoregulatory reserve. Thiazide removal is safe if BP is genuinely controlled.</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Stage 3a (eGFR 45-59)</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Proceed with standard hierarchy but extend monitoring windows to 6 weeks (not 4) for each step.</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Reduced but not critical autoregulation. Slower monitoring allows detection of perfusion changes.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Stage 3b (eGFR 30-44)</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Thiazide-first hierarchy still valid but: Step 1 (dose halving) only — do not proceed to full removal unless sbp_7d_mean remains ≥ 110 at half-dose. Full removal is only safe if the remaining antihypertensive regimen still keeps BP ≥ sbp_lower_limit (from Amendment 8).</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now directly affects residual GFR. Removing the full thiazide contribution may drop BP below the J-curve floor and reduce renal perfusion.</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Stage 4 (eGFR 15-29)</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DEPRESCRIBING_MODE for antihypertensives is not appropriate. The J-curve floor is already at 110 mmHg — insufficient headroom for any drug removal. Physician-initiated review only.</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Near-dialysis kidney. The system should not propose antihypertensive deprescribing for Stage 4 patients — it may trigger a renal crisis.</w:t>
            </w:r>
          </w:p>
        </w:tc>
      </w:tr>
    </w:tbl>
    <w:p>
      <w:pPr>
        <w:spacing w:after="0" w:before="160"/>
      </w:pPr>
    </w:p>
    <w:p>
      <w:pPr>
        <w:pBdr>
          <w:bottom w:val="single" w:color="2E75B6" w:sz="6"/>
        </w:pBdr>
        <w:spacing w:after="160" w:before="160"/>
      </w:pPr>
    </w:p>
    <w:p>
      <w:r>
        <w:br w:type="page"/>
      </w:r>
    </w:p>
    <w:p>
      <w:pPr>
        <w:pStyle w:val="Heading1"/>
        <w:spacing w:after="100" w:before="300"/>
      </w:pPr>
      <w:r>
        <w:rPr>
          <w:rFonts w:ascii="Arial" w:cs="Arial" w:eastAsia="Arial" w:hAnsi="Arial"/>
          <w:b/>
          <w:bCs/>
          <w:i w:val="false"/>
          <w:iCs w:val="false"/>
          <w:color w:val="1F4E79"/>
          <w:sz w:val="34"/>
          <w:szCs w:val="34"/>
        </w:rPr>
        <w:t xml:space="preserve">Part 3 — Implementation Map</w:t>
      </w:r>
    </w:p>
    <w:p>
      <w:pPr>
        <w:spacing w:after="80" w:before="60"/>
      </w:pPr>
      <w:r>
        <w:rPr>
          <w:rFonts w:ascii="Arial" w:cs="Arial" w:eastAsia="Arial" w:hAnsi="Arial"/>
          <w:b w:val="false"/>
          <w:bCs w:val="false"/>
          <w:i w:val="false"/>
          <w:iCs w:val="false"/>
          <w:color w:val="1A1A1A"/>
          <w:sz w:val="20"/>
          <w:szCs w:val="20"/>
        </w:rPr>
        <w:t xml:space="preserve">All items below are net-new additions to the existing architecture. Components they extend are referenced precisely.</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3.1  Part 1 — Early Warning Loop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31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to Add</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Where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EW-01</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bp_risk_stratum computation (eGFR × ACR → LOW/MOD/HIGH/VERY_HIGH)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BPTrajectory.Classify() — add stratum enum field and computation</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EW-02</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sbp_declining_threshold: per-patient threshold from bp_risk_stratum table</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 replace hardcoded +2.5 mmHg/week with patient-specific threshold</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EW-03</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EARLY_WATCH bp_status tier + consecutive_early_watch_weeks counter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BPTrajectory struct + classifier</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EW-04</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BP_TRAJECTORY_CONCERN event from KB-20 + 72h SLA HYPERTENSION_REVIEW card</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event_bus.go + KB-23 card_builder.go</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EW-05</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weeks_to_severe projection + slope_confidence field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BPTrajectory — add projection computation</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EW-06</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Projection surface in KB-23 HYPERTENSION_REVIEW card body</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YAML template: bp_above_target.yaml + bp_declining.yaml (new)</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EW-07</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damage_concern_score: compound signal (variability + ACR trend + pulse pressure + BP status)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 new DamageComposite struct, computed after each BPTrajectory update</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EW-08</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BP_SUBCLINICAL_CONCERN + DAMAGE_COMPOSITE_ALERT events</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event_bus.go + KB-23 — two new card sub-types under HYPERTENSION_REVIEW</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EW-09</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cardiac_strain_suspected flag + ophthalmology_referral_needed flag (v1 KB-22 hooks)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HPI session — conditional flag on exertional_dyspnoea + SEVERE bp_status</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3.2  Part 2 — Antihypertensive Deprescribing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31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to Add</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Where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AD-01</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Adherence pre-condition: antihypertensive_adherence ≥ 0.85 for 16 weeks added to DEPRESCRIBING_MODE entry gate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DEPRESCRIBING_MODE evaluator — add adherence check before setting htn_deprescribing_eligible = true</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AD-02</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Lifestyle attribution bonus: 12-week entry window if salt_reduction_potential changed HIGH→LOW</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DEPRESCRIBING_MODE evaluator — conditional window reduction</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AD-03</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 buffer check at deprescribing entry: block if SGLT2i stopped within 6 weeks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DEPRESCRIBING_MODE evaluator — check MedicationFact for sglt2i_status + stop_date</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AD-04</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Dose-halving step before drug removal — two-action state machine per drug class</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DEPRESCRIBING_PROPOSAL card + card_lifecycle.go state machine: PROPOSED → DOSE_REDUCED → MONITORING → REMOVAL_PROPOSED | FAILED</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AD-05</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Per-class monitoring windows and failure thresholds (4w thiazide, 4w CCB, 6w beta-blocker, 6w RAAS + ACR)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card_lifecycle.go background job + KB-20 monitoring mode</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AD-06</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Failure threshold correction: failure at SBP &gt; (bp_target.sbp + 10), not (baseline + 10)</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BPTrajectory STEP_DOWN monitoring logic</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correctness fix</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AD-07</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Re-escalation pathway: drug-class-specific restart doses and card behaviour on STEP_DOWN_FAILED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DEPRESCRIBING_PROPOSAL card → STEP_DOWN_FAILED sub-state → class-specific card content</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AD-08</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CKD Stage 3b: full thiazide removal blocked unless sbp_7d_mean ≥ 110 at half-dose</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DEPRESCRIBING_MODE evaluator — add CKD stage gate to Step 2 proposal</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AD-09</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CKD Stage 4: DEPRESCRIBING_MODE for antihypertensives blocked entirely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 add Stage 4 exclusion to htn_deprescribing_eligible computation</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 — safety rule</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AD-10</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ACR recheck as mandatory monitoring event during ACEi/ARB dose reduction</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lab pipeline — add acr_check_due flag when ACEi/ARB in STEP_DOWN MONITORING state</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3.3  What the Architecture Covers After These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40"/>
        <w:gridCol w:w="312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Capability</w:t>
            </w:r>
          </w:p>
        </w:tc>
        <w:tc>
          <w:tcPr>
            <w:tcW w:type="dxa" w:w="30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Before This Document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After This Document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HTN deterioration detection</w:t>
            </w:r>
          </w:p>
        </w:tc>
        <w:tc>
          <w:tcPr>
            <w:tcW w:type="dxa" w:w="30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Reactive: DECLINING fires when slope already &gt;+2.5 mmHg/week</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Proactive: EARLY_WATCH tier for high-risk patients + risk-stratified thresholds</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Time horizon for physician</w:t>
            </w:r>
          </w:p>
        </w:tc>
        <w:tc>
          <w:tcPr>
            <w:tcW w:type="dxa" w:w="304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Status only: 'BP is DECLINING'</w:t>
            </w:r>
          </w:p>
        </w:tc>
        <w:tc>
          <w:tcPr>
            <w:tcW w:type="dxa" w:w="312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Projected horizon: 'At current rate, SEVERE in 6 weeks'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Sub-clinical damage signal</w:t>
            </w:r>
          </w:p>
        </w:tc>
        <w:tc>
          <w:tcPr>
            <w:tcW w:type="dxa" w:w="30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Three independent alerts (variability, ACR, pulse pressure) firing separately</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Compound damage_concern_score: 0-8 scale, composite signal integrates all three</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Antihypertensive deprescribing entry</w:t>
            </w:r>
          </w:p>
        </w:tc>
        <w:tc>
          <w:tcPr>
            <w:tcW w:type="dxa" w:w="304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at target 16 weeks (only BP condition)</w:t>
            </w:r>
          </w:p>
        </w:tc>
        <w:tc>
          <w:tcPr>
            <w:tcW w:type="dxa" w:w="312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at target 16 weeks + adherence ≥ 0.85 + SGLT2i buffer check + CKD stage gate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Step-down protocol</w:t>
            </w:r>
          </w:p>
        </w:tc>
        <w:tc>
          <w:tcPr>
            <w:tcW w:type="dxa" w:w="30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'Remove drug. If BP rises, revert.'</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Dose-halve first → monitoring window → removal. Two-action card state machine.</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Monitoring after step-down</w:t>
            </w:r>
          </w:p>
        </w:tc>
        <w:tc>
          <w:tcPr>
            <w:tcW w:type="dxa" w:w="304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Exit condition only (&gt;10 mmHg rise)</w:t>
            </w:r>
          </w:p>
        </w:tc>
        <w:tc>
          <w:tcPr>
            <w:tcW w:type="dxa" w:w="312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Per-class monitoring cadence + correct failure threshold (target+10) + ACR recheck for RAAS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Re-escalation after failure</w:t>
            </w:r>
          </w:p>
        </w:tc>
        <w:tc>
          <w:tcPr>
            <w:tcW w:type="dxa" w:w="30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'Revert + HYPERTENSION_REVIEW'</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Drug-class-specific restart dose + card explains trade-off (e.g., CCB oedema vs BP control)</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CKD Stage 4 protection</w:t>
            </w:r>
          </w:p>
        </w:tc>
        <w:tc>
          <w:tcPr>
            <w:tcW w:type="dxa" w:w="304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Not specified — could theoretically generate deprescribing card</w:t>
            </w:r>
          </w:p>
        </w:tc>
        <w:tc>
          <w:tcPr>
            <w:tcW w:type="dxa" w:w="312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Hard block: Stage 4 excluded from antihypertensive DEPRESCRIBING_MODE entirely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375623" w:sz="1"/>
            </w:tcBorders>
            <w:shd w:fill="E2EFDA" w:val="clear"/>
            <w:tcMar>
              <w:top w:type="dxa" w:w="120"/>
              <w:left w:type="dxa" w:w="200"/>
              <w:bottom w:type="dxa" w:w="120"/>
              <w:right w:type="dxa" w:w="160"/>
            </w:tcMar>
          </w:tcPr>
          <w:p>
            <w:pPr>
              <w:spacing w:after="80" w:before="40"/>
            </w:pPr>
            <w:r>
              <w:rPr>
                <w:rFonts w:ascii="Arial" w:cs="Arial" w:eastAsia="Arial" w:hAnsi="Arial"/>
                <w:b/>
                <w:bCs/>
                <w:i w:val="false"/>
                <w:iCs w:val="false"/>
                <w:color w:val="375623"/>
                <w:sz w:val="20"/>
                <w:szCs w:val="20"/>
              </w:rPr>
              <w:t xml:space="preserve">Direct Answer</w:t>
            </w:r>
          </w:p>
          <w:p>
            <w:pPr>
              <w:spacing w:after="32" w:before="32"/>
            </w:pPr>
            <w:r>
              <w:rPr>
                <w:rFonts w:ascii="Arial" w:cs="Arial" w:eastAsia="Arial" w:hAnsi="Arial"/>
                <w:b w:val="false"/>
                <w:bCs w:val="false"/>
                <w:i w:val="false"/>
                <w:iCs w:val="false"/>
                <w:color w:val="1A1A1A"/>
                <w:sz w:val="19"/>
                <w:szCs w:val="19"/>
              </w:rPr>
              <w:t xml:space="preserve">Stop Deterioration (early warning): PARTIALLY covered before this document. The slope computation and DECLINING status exist. Missing: risk-stratified thresholds, time-to-severe projection, compound sub-clinical damage signal, and EARLY_WATCH pre-DECLINING tier for high-risk patients. All four are now specified.</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Reduce Medicines (antihypertensive deprescribing): SKELETON covered before this document. The hierarchy and entry/exit conditions exist. Missing: adherence pre-condition, SGLT2i buffer accounting, dose-halving protocol, per-class monitoring cadences, correct failure threshold interpretation, re-escalation pathway, and CKD Stage 4 block. All are now specified.</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The most critical safety item: CKD Stage 4 must be explicitly blocked from antihypertensive DEPRESCRIBING_MODE (AD-09). This is a P0 rule — it prevents the system from proposing antihypertensive step-down in a near-dialysis patient where BP floor tolerance is already critically narrow.</w:t>
            </w:r>
          </w:p>
        </w:tc>
      </w:tr>
    </w:tbl>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80"/>
    </w:pPr>
    <w:r>
      <w:rPr>
        <w:rFonts w:ascii="Arial" w:cs="Arial" w:eastAsia="Arial" w:hAnsi="Arial"/>
        <w:b w:val="false"/>
        <w:bCs w:val="false"/>
        <w:i w:val="false"/>
        <w:iCs w:val="false"/>
        <w:color w:val="999999"/>
        <w:sz w:val="16"/>
        <w:szCs w:val="16"/>
      </w:rPr>
      <w:t xml:space="preserve">CONFIDENTIAL — Vaidshala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pPr>
    <w:r>
      <w:rPr>
        <w:rFonts w:ascii="Arial" w:cs="Arial" w:eastAsia="Arial" w:hAnsi="Arial"/>
        <w:b w:val="false"/>
        <w:bCs w:val="false"/>
        <w:i w:val="false"/>
        <w:iCs w:val="false"/>
        <w:color w:val="777777"/>
        <w:sz w:val="17"/>
        <w:szCs w:val="17"/>
      </w:rPr>
      <w:t xml:space="preserve">Vaidshala v3  ·  HTN: Early Warning Loop + Antihypertensive Deprescribing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00"/>
      <w:outlineLvl w:val="0"/>
    </w:pPr>
    <w:rPr>
      <w:rFonts w:ascii="Arial" w:cs="Arial" w:eastAsia="Arial" w:hAnsi="Arial"/>
      <w:b/>
      <w:bCs/>
      <w:color w:val="1F4E79"/>
      <w:sz w:val="34"/>
      <w:szCs w:val="34"/>
    </w:rPr>
  </w:style>
  <w:style w:type="paragraph" w:styleId="Heading2">
    <w:name w:val="Heading 2"/>
    <w:basedOn w:val="Normal"/>
    <w:next w:val="Normal"/>
    <w:pPr>
      <w:spacing w:after="100" w:before="240"/>
      <w:outlineLvl w:val="1"/>
    </w:pPr>
    <w:rPr>
      <w:rFonts w:ascii="Arial" w:cs="Arial" w:eastAsia="Arial" w:hAnsi="Arial"/>
      <w:b/>
      <w:bCs/>
      <w:color w:val="2E75B6"/>
      <w:sz w:val="26"/>
      <w:szCs w:val="26"/>
    </w:rPr>
  </w:style>
  <w:style w:type="paragraph" w:styleId="Heading3">
    <w:name w:val="Heading 3"/>
    <w:basedOn w:val="Normal"/>
    <w:next w:val="Normal"/>
    <w:pPr>
      <w:spacing w:after="80" w:before="18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2026-03-09T06:33:34.097Z</dcterms:created>
  <dcterms:modified xsi:type="dcterms:W3CDTF">2026-03-09T06:33:34.099Z</dcterms:modified>
</cp:coreProperties>
</file>

<file path=docProps/custom.xml><?xml version="1.0" encoding="utf-8"?>
<Properties xmlns="http://schemas.openxmlformats.org/officeDocument/2006/custom-properties" xmlns:vt="http://schemas.openxmlformats.org/officeDocument/2006/docPropsVTypes"/>
</file>