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rFonts w:ascii="Arial" w:cs="Arial" w:eastAsia="Arial" w:hAnsi="Arial"/>
          <w:b/>
          <w:bCs/>
          <w:i w:val="false"/>
          <w:iCs w:val="false"/>
          <w:color w:val="1F4E79"/>
          <w:sz w:val="44"/>
          <w:szCs w:val="44"/>
        </w:rPr>
        <w:t xml:space="preserve">HTN Integration — Clinical Amendments</w:t>
      </w:r>
    </w:p>
    <w:p>
      <w:pPr>
        <w:spacing w:after="40" w:before="0"/>
      </w:pPr>
      <w:r>
        <w:rPr>
          <w:rFonts w:ascii="Arial" w:cs="Arial" w:eastAsia="Arial" w:hAnsi="Arial"/>
          <w:b w:val="false"/>
          <w:bCs w:val="false"/>
          <w:i w:val="false"/>
          <w:iCs w:val="false"/>
          <w:color w:val="2E75B6"/>
          <w:sz w:val="26"/>
          <w:szCs w:val="26"/>
        </w:rPr>
        <w:t xml:space="preserve">Deep Review: Fresh Insights Beyond the Original Proposal</w:t>
      </w:r>
    </w:p>
    <w:p>
      <w:pPr>
        <w:spacing w:after="60" w:before="0"/>
      </w:pPr>
      <w:r>
        <w:rPr>
          <w:rFonts w:ascii="Arial" w:cs="Arial" w:eastAsia="Arial" w:hAnsi="Arial"/>
          <w:b w:val="false"/>
          <w:bCs w:val="false"/>
          <w:i w:val="false"/>
          <w:iCs w:val="false"/>
          <w:color w:val="777777"/>
          <w:sz w:val="20"/>
          <w:szCs w:val="20"/>
        </w:rPr>
        <w:t xml:space="preserve">Addendum to Vaidshala_HTN_Integration_Proposal.docx  ·  March 2026</w:t>
      </w:r>
    </w:p>
    <w:p>
      <w:pPr>
        <w:spacing w:after="80" w:before="60"/>
      </w:pPr>
      <w:r>
        <w:rPr>
          <w:rFonts w:ascii="Arial" w:cs="Arial" w:eastAsia="Arial" w:hAnsi="Arial"/>
          <w:b w:val="false"/>
          <w:bCs w:val="false"/>
          <w:i w:val="false"/>
          <w:iCs w:val="false"/>
          <w:color w:val="1A1A1A"/>
          <w:sz w:val="20"/>
          <w:szCs w:val="20"/>
        </w:rPr>
        <w:t xml:space="preserve">This document contains only net-new clinical insights that extend the original proposal. Items already addressed there are not repeated. Read in conjunction with the main proposal.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Amendments in This Document</w:t>
            </w:r>
          </w:p>
          <w:p>
            <w:pPr>
              <w:spacing w:after="32" w:before="32"/>
            </w:pPr>
            <w:r>
              <w:rPr>
                <w:rFonts w:ascii="Arial" w:cs="Arial" w:eastAsia="Arial" w:hAnsi="Arial"/>
                <w:b w:val="false"/>
                <w:bCs w:val="false"/>
                <w:i w:val="false"/>
                <w:iCs w:val="false"/>
                <w:color w:val="1A1A1A"/>
                <w:sz w:val="19"/>
                <w:szCs w:val="19"/>
              </w:rPr>
              <w:t xml:space="preserve">Amendment 1 — The RAAS Creatinine Tolerance Rule (most critical omission from original)</w:t>
            </w:r>
          </w:p>
          <w:p>
            <w:pPr>
              <w:spacing w:after="32" w:before="32"/>
            </w:pPr>
            <w:r>
              <w:rPr>
                <w:rFonts w:ascii="Arial" w:cs="Arial" w:eastAsia="Arial" w:hAnsi="Arial"/>
                <w:b w:val="false"/>
                <w:bCs w:val="false"/>
                <w:i w:val="false"/>
                <w:iCs w:val="false"/>
                <w:color w:val="1A1A1A"/>
                <w:sz w:val="19"/>
                <w:szCs w:val="19"/>
              </w:rPr>
              <w:t xml:space="preserve">Amendment 2 — Antihypertensive TreatmentPerturbation Windows (SGLT2i BP, ACEi creatinine)</w:t>
            </w:r>
          </w:p>
          <w:p>
            <w:pPr>
              <w:spacing w:after="32" w:before="32"/>
            </w:pPr>
            <w:r>
              <w:rPr>
                <w:rFonts w:ascii="Arial" w:cs="Arial" w:eastAsia="Arial" w:hAnsi="Arial"/>
                <w:b w:val="false"/>
                <w:bCs w:val="false"/>
                <w:i w:val="false"/>
                <w:iCs w:val="false"/>
                <w:color w:val="1A1A1A"/>
                <w:sz w:val="19"/>
                <w:szCs w:val="19"/>
              </w:rPr>
              <w:t xml:space="preserve">Amendment 3 — Heart Rate in VitalFact + Channel B bradycardia/tachycardia rules</w:t>
            </w:r>
          </w:p>
          <w:p>
            <w:pPr>
              <w:spacing w:after="32" w:before="32"/>
            </w:pPr>
            <w:r>
              <w:rPr>
                <w:rFonts w:ascii="Arial" w:cs="Arial" w:eastAsia="Arial" w:hAnsi="Arial"/>
                <w:b w:val="false"/>
                <w:bCs w:val="false"/>
                <w:i w:val="false"/>
                <w:iCs w:val="false"/>
                <w:color w:val="1A1A1A"/>
                <w:sz w:val="19"/>
                <w:szCs w:val="19"/>
              </w:rPr>
              <w:t xml:space="preserve">Amendment 4 — Antihypertensive Adherence as a Separate KB-21 Track</w:t>
            </w:r>
          </w:p>
          <w:p>
            <w:pPr>
              <w:spacing w:after="32" w:before="32"/>
            </w:pPr>
            <w:r>
              <w:rPr>
                <w:rFonts w:ascii="Arial" w:cs="Arial" w:eastAsia="Arial" w:hAnsi="Arial"/>
                <w:b w:val="false"/>
                <w:bCs w:val="false"/>
                <w:i w:val="false"/>
                <w:iCs w:val="false"/>
                <w:color w:val="1A1A1A"/>
                <w:sz w:val="19"/>
                <w:szCs w:val="19"/>
              </w:rPr>
              <w:t xml:space="preserve">Amendment 5 — ACEi Cough Detection and ARB Switch Logic (Indian population: 30-40% cough rate)</w:t>
            </w:r>
          </w:p>
          <w:p>
            <w:pPr>
              <w:spacing w:after="32" w:before="32"/>
            </w:pPr>
            <w:r>
              <w:rPr>
                <w:rFonts w:ascii="Arial" w:cs="Arial" w:eastAsia="Arial" w:hAnsi="Arial"/>
                <w:b w:val="false"/>
                <w:bCs w:val="false"/>
                <w:i w:val="false"/>
                <w:iCs w:val="false"/>
                <w:color w:val="1A1A1A"/>
                <w:sz w:val="19"/>
                <w:szCs w:val="19"/>
              </w:rPr>
              <w:t xml:space="preserve">Amendment 6 — Resistant Hypertension Classification</w:t>
            </w:r>
          </w:p>
          <w:p>
            <w:pPr>
              <w:spacing w:after="32" w:before="32"/>
            </w:pPr>
            <w:r>
              <w:rPr>
                <w:rFonts w:ascii="Arial" w:cs="Arial" w:eastAsia="Arial" w:hAnsi="Arial"/>
                <w:b w:val="false"/>
                <w:bCs w:val="false"/>
                <w:i w:val="false"/>
                <w:iCs w:val="false"/>
                <w:color w:val="1A1A1A"/>
                <w:sz w:val="19"/>
                <w:szCs w:val="19"/>
              </w:rPr>
              <w:t xml:space="preserve">Amendment 7 — BP Variability as an Independent Stroke Risk Marker</w:t>
            </w:r>
          </w:p>
          <w:p>
            <w:pPr>
              <w:spacing w:after="32" w:before="32"/>
            </w:pPr>
            <w:r>
              <w:rPr>
                <w:rFonts w:ascii="Arial" w:cs="Arial" w:eastAsia="Arial" w:hAnsi="Arial"/>
                <w:b w:val="false"/>
                <w:bCs w:val="false"/>
                <w:i w:val="false"/>
                <w:iCs w:val="false"/>
                <w:color w:val="1A1A1A"/>
                <w:sz w:val="19"/>
                <w:szCs w:val="19"/>
              </w:rPr>
              <w:t xml:space="preserve">Amendment 8 — The J-Curve Problem in CKD Patients</w:t>
            </w:r>
          </w:p>
          <w:p>
            <w:pPr>
              <w:spacing w:after="32" w:before="32"/>
            </w:pPr>
            <w:r>
              <w:rPr>
                <w:rFonts w:ascii="Arial" w:cs="Arial" w:eastAsia="Arial" w:hAnsi="Arial"/>
                <w:b w:val="false"/>
                <w:bCs w:val="false"/>
                <w:i w:val="false"/>
                <w:iCs w:val="false"/>
                <w:color w:val="1A1A1A"/>
                <w:sz w:val="19"/>
                <w:szCs w:val="19"/>
              </w:rPr>
              <w:t xml:space="preserve">Amendment 9 — ACR Longitudinal Tracking as RAAS Efficacy Marker</w:t>
            </w:r>
          </w:p>
          <w:p>
            <w:pPr>
              <w:spacing w:after="32" w:before="32"/>
            </w:pPr>
            <w:r>
              <w:rPr>
                <w:rFonts w:ascii="Arial" w:cs="Arial" w:eastAsia="Arial" w:hAnsi="Arial"/>
                <w:b w:val="false"/>
                <w:bCs w:val="false"/>
                <w:i w:val="false"/>
                <w:iCs w:val="false"/>
                <w:color w:val="1A1A1A"/>
                <w:sz w:val="19"/>
                <w:szCs w:val="19"/>
              </w:rPr>
              <w:t xml:space="preserve">Amendment 10 — Chronotherapy: Medication Timing Before Dose Escalation</w:t>
            </w:r>
          </w:p>
          <w:p>
            <w:pPr>
              <w:spacing w:after="32" w:before="32"/>
            </w:pPr>
            <w:r>
              <w:rPr>
                <w:rFonts w:ascii="Arial" w:cs="Arial" w:eastAsia="Arial" w:hAnsi="Arial"/>
                <w:b w:val="false"/>
                <w:bCs w:val="false"/>
                <w:i w:val="false"/>
                <w:iCs w:val="false"/>
                <w:color w:val="1A1A1A"/>
                <w:sz w:val="19"/>
                <w:szCs w:val="19"/>
              </w:rPr>
              <w:t xml:space="preserve">Amendment 11 — Hyponatraemia Risk from Thiazides</w:t>
            </w:r>
          </w:p>
          <w:p>
            <w:pPr>
              <w:spacing w:after="32" w:before="32"/>
            </w:pPr>
            <w:r>
              <w:rPr>
                <w:rFonts w:ascii="Arial" w:cs="Arial" w:eastAsia="Arial" w:hAnsi="Arial"/>
                <w:b w:val="false"/>
                <w:bCs w:val="false"/>
                <w:i w:val="false"/>
                <w:iCs w:val="false"/>
                <w:color w:val="1A1A1A"/>
                <w:sz w:val="19"/>
                <w:szCs w:val="19"/>
              </w:rPr>
              <w:t xml:space="preserve">Amendment 12 — Salt Sensitivity Signal in KB-21</w:t>
            </w:r>
          </w:p>
          <w:p>
            <w:pPr>
              <w:spacing w:after="32" w:before="32"/>
            </w:pPr>
            <w:r>
              <w:rPr>
                <w:rFonts w:ascii="Arial" w:cs="Arial" w:eastAsia="Arial" w:hAnsi="Arial"/>
                <w:b w:val="false"/>
                <w:bCs w:val="false"/>
                <w:i w:val="false"/>
                <w:iCs w:val="false"/>
                <w:color w:val="1A1A1A"/>
                <w:sz w:val="19"/>
                <w:szCs w:val="19"/>
              </w:rPr>
              <w:t xml:space="preserve">Amendment 13 — Pulse Pressure as Arterial Stiffness Marker</w:t>
            </w:r>
          </w:p>
        </w:tc>
      </w:tr>
    </w:tbl>
    <w:p>
      <w:pPr>
        <w:spacing w:after="0" w:before="160"/>
      </w:pPr>
    </w:p>
    <w:p>
      <w:pPr>
        <w:pStyle w:val="Heading1"/>
        <w:spacing w:after="100" w:before="300"/>
      </w:pPr>
      <w:r>
        <w:rPr>
          <w:rFonts w:ascii="Arial" w:cs="Arial" w:eastAsia="Arial" w:hAnsi="Arial"/>
          <w:b/>
          <w:bCs/>
          <w:i w:val="false"/>
          <w:iCs w:val="false"/>
          <w:color w:val="1F4E79"/>
          <w:sz w:val="34"/>
          <w:szCs w:val="34"/>
        </w:rPr>
        <w:t xml:space="preserve">Amendment 1 — The RAAS Creatinine Tolerance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6"/>
              <w:bottom w:val="single" w:color="C00000" w:sz="1"/>
              <w:right w:val="single" w:color="C00000" w:sz="1"/>
            </w:tcBorders>
            <w:shd w:fill="FCE4D6" w:val="clear"/>
            <w:tcMar>
              <w:top w:type="dxa" w:w="120"/>
              <w:left w:type="dxa" w:w="200"/>
              <w:bottom w:type="dxa" w:w="120"/>
              <w:right w:type="dxa" w:w="160"/>
            </w:tcMar>
          </w:tcPr>
          <w:p>
            <w:pPr>
              <w:spacing w:after="80" w:before="40"/>
            </w:pPr>
            <w:r>
              <w:rPr>
                <w:rFonts w:ascii="Arial" w:cs="Arial" w:eastAsia="Arial" w:hAnsi="Arial"/>
                <w:b/>
                <w:bCs/>
                <w:i w:val="false"/>
                <w:iCs w:val="false"/>
                <w:color w:val="C00000"/>
                <w:sz w:val="20"/>
                <w:szCs w:val="20"/>
              </w:rPr>
              <w:t xml:space="preserve">Why This Is the Most Dangerous False Positive in the Entire Architecture</w:t>
            </w:r>
          </w:p>
          <w:p>
            <w:pPr>
              <w:spacing w:after="32" w:before="32"/>
            </w:pPr>
            <w:r>
              <w:rPr>
                <w:rFonts w:ascii="Arial" w:cs="Arial" w:eastAsia="Arial" w:hAnsi="Arial"/>
                <w:b w:val="false"/>
                <w:bCs w:val="false"/>
                <w:i w:val="false"/>
                <w:iCs w:val="false"/>
                <w:color w:val="1A1A1A"/>
                <w:sz w:val="19"/>
                <w:szCs w:val="19"/>
              </w:rPr>
              <w:t xml:space="preserve">ACEi and ARB reduce intraglomerular pressure by dilating the efferent arteriole. This is their mechanism of renal protection — they reduce the hydraulic stress that drives proteinuria and glomerulosclerosis.</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However, by reducing intraglomerular pressure, they also initially reduce GFR. A creatinine rise of 10-30% within 7-14 days of starting or increasing an ACEi/ARB is expected, normal physiology — not AKI.</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The KDIGO 2021 guideline explicitly states: creatinine rise ≤30% after RAAS intensification should NOT trigger drug discontinuation. It warrants monitoring, not stopping.</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If the system treats this as AKI and fires Channel B HALT, it will remove the most renal-protective drug in the regimen. This is the opposite of the correct clinical action.</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1.1  Current Architecture Gap</w:t>
      </w:r>
    </w:p>
    <w:p>
      <w:pPr>
        <w:spacing w:after="80" w:before="60"/>
      </w:pPr>
      <w:r>
        <w:rPr>
          <w:rFonts w:ascii="Arial" w:cs="Arial" w:eastAsia="Arial" w:hAnsi="Arial"/>
          <w:b w:val="false"/>
          <w:bCs w:val="false"/>
          <w:i w:val="false"/>
          <w:iCs w:val="false"/>
          <w:color w:val="1A1A1A"/>
          <w:sz w:val="20"/>
          <w:szCs w:val="20"/>
        </w:rPr>
        <w:t xml:space="preserve">The original proposal has Channel B B-10 (creatinine 48h delta &gt; 26 µmol/L → HALT). This rule fires correctly for genuine AKI. But it will also fire for the expected creatinine rise after ACEi/ARB dose increase. No causal suppression exists in the current specification.</w:t>
      </w:r>
    </w:p>
    <w:p>
      <w:pPr>
        <w:spacing w:after="0" w:before="80"/>
      </w:pPr>
    </w:p>
    <w:p>
      <w:pPr>
        <w:spacing w:after="80" w:before="60"/>
      </w:pPr>
      <w:r>
        <w:rPr>
          <w:rFonts w:ascii="Arial" w:cs="Arial" w:eastAsia="Arial" w:hAnsi="Arial"/>
          <w:b w:val="false"/>
          <w:bCs w:val="false"/>
          <w:i w:val="false"/>
          <w:iCs w:val="false"/>
          <w:color w:val="1A1A1A"/>
          <w:sz w:val="20"/>
          <w:szCs w:val="20"/>
        </w:rPr>
        <w:t xml:space="preserve">The simulation scenario for AKI mid-titration (creatinine spike day 30) must be split into two distinct scenarios: one where the spike is genuine AKI (no prior RAAS change), and one where it is the expected RAAS response (ACEi increased 5 days earlier). The system must behave differently in each case.</w:t>
      </w:r>
    </w:p>
    <w:p>
      <w:pPr>
        <w:spacing w:after="0" w:before="160"/>
      </w:pPr>
    </w:p>
    <w:p>
      <w:pPr>
        <w:pStyle w:val="Heading2"/>
        <w:spacing w:after="100" w:before="240"/>
      </w:pPr>
      <w:r>
        <w:rPr>
          <w:rFonts w:ascii="Arial" w:cs="Arial" w:eastAsia="Arial" w:hAnsi="Arial"/>
          <w:b/>
          <w:bCs/>
          <w:i w:val="false"/>
          <w:iCs w:val="false"/>
          <w:color w:val="2E75B6"/>
          <w:sz w:val="26"/>
          <w:szCs w:val="26"/>
        </w:rPr>
        <w:t xml:space="preserve">1.2  The Tolerance Rule: Channel C PG-14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Rule</w:t>
            </w:r>
          </w:p>
        </w:tc>
        <w:tc>
          <w:tcPr>
            <w:tcW w:type="dxa" w:w="4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Condition</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Correct Gate</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PG-14 (new)</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 or ARB dose increased within last 14 days AND creatinine rise &lt; 30% from pre-change baseline AND K+ &lt; 5.5 AND no oliguria reported</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 with monitoring note (not HALT). Expected RAAS response. Monitor creatinine at 7 days and 14 days. Do not stop drug.</w:t>
            </w:r>
          </w:p>
        </w:tc>
      </w:tr>
      <w:tr>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Existing Channel B B-10</w:t>
            </w:r>
          </w:p>
        </w:tc>
        <w:tc>
          <w:tcPr>
            <w:tcW w:type="dxa" w:w="4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Creatinine 48h delta &gt; 26 µmol/L (without PG-14 causal suppression)</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 — genuine AKI suspected</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Upgrade condition</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Creatinine rise &gt; 30% OR K+ &gt; 5.5 OR oliguria OR no prior RAAS change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 — RAAS-tolerant interpretation does not apply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6"/>
              <w:bottom w:val="single" w:color="BF8F00" w:sz="1"/>
              <w:right w:val="single" w:color="BF8F00" w:sz="1"/>
            </w:tcBorders>
            <w:shd w:fill="FFF2CC" w:val="clear"/>
            <w:tcMar>
              <w:top w:type="dxa" w:w="120"/>
              <w:left w:type="dxa" w:w="200"/>
              <w:bottom w:type="dxa" w:w="120"/>
              <w:right w:type="dxa" w:w="160"/>
            </w:tcMar>
          </w:tcPr>
          <w:p>
            <w:pPr>
              <w:spacing w:after="80" w:before="40"/>
            </w:pPr>
            <w:r>
              <w:rPr>
                <w:rFonts w:ascii="Arial" w:cs="Arial" w:eastAsia="Arial" w:hAnsi="Arial"/>
                <w:b/>
                <w:bCs/>
                <w:i w:val="false"/>
                <w:iCs w:val="false"/>
                <w:color w:val="BF8F00"/>
                <w:sz w:val="20"/>
                <w:szCs w:val="20"/>
              </w:rPr>
              <w:t xml:space="preserve">Implementation: Causal Suppression in the Orchestrator</w:t>
            </w:r>
          </w:p>
          <w:p>
            <w:pPr>
              <w:spacing w:after="32" w:before="32"/>
            </w:pPr>
            <w:r>
              <w:rPr>
                <w:rFonts w:ascii="Arial" w:cs="Arial" w:eastAsia="Arial" w:hAnsi="Arial"/>
                <w:b w:val="false"/>
                <w:bCs w:val="false"/>
                <w:i w:val="false"/>
                <w:iCs w:val="false"/>
                <w:color w:val="1A1A1A"/>
                <w:sz w:val="19"/>
                <w:szCs w:val="19"/>
              </w:rPr>
              <w:t xml:space="preserve">The V-MCU orchestrator (RunCycle) must check PG-14 BEFORE Channel B fires on creatinine delta.</w:t>
            </w:r>
          </w:p>
          <w:p>
            <w:pPr>
              <w:spacing w:after="32" w:before="32"/>
            </w:pPr>
            <w:r>
              <w:rPr>
                <w:rFonts w:ascii="Arial" w:cs="Arial" w:eastAsia="Arial" w:hAnsi="Arial"/>
                <w:b w:val="false"/>
                <w:bCs w:val="false"/>
                <w:i w:val="false"/>
                <w:iCs w:val="false"/>
                <w:color w:val="1A1A1A"/>
                <w:sz w:val="19"/>
                <w:szCs w:val="19"/>
              </w:rPr>
              <w:t xml:space="preserve">If PG-14 fires (RAAS change within 14 days + rise &lt;30%): set RawInputs.CreatinineRiseExplained = true.</w:t>
            </w:r>
          </w:p>
          <w:p>
            <w:pPr>
              <w:spacing w:after="32" w:before="32"/>
            </w:pPr>
            <w:r>
              <w:rPr>
                <w:rFonts w:ascii="Arial" w:cs="Arial" w:eastAsia="Arial" w:hAnsi="Arial"/>
                <w:b w:val="false"/>
                <w:bCs w:val="false"/>
                <w:i w:val="false"/>
                <w:iCs w:val="false"/>
                <w:color w:val="1A1A1A"/>
                <w:sz w:val="19"/>
                <w:szCs w:val="19"/>
              </w:rPr>
              <w:t xml:space="preserve">Channel B checks this flag: if CreatinineRiseExplained = true, downgrade HALT to PAUSE.</w:t>
            </w:r>
          </w:p>
          <w:p>
            <w:pPr>
              <w:spacing w:after="32" w:before="32"/>
            </w:pPr>
            <w:r>
              <w:rPr>
                <w:rFonts w:ascii="Arial" w:cs="Arial" w:eastAsia="Arial" w:hAnsi="Arial"/>
                <w:b w:val="false"/>
                <w:bCs w:val="false"/>
                <w:i w:val="false"/>
                <w:iCs w:val="false"/>
                <w:color w:val="1A1A1A"/>
                <w:sz w:val="19"/>
                <w:szCs w:val="19"/>
              </w:rPr>
              <w:t xml:space="preserve">This preserves Channel B's independence — it still evaluates the creatinine delta — but the orchestrator provides one boolean of causal context, identical to the beta_blocker_active pattern.</w:t>
            </w:r>
          </w:p>
          <w:p>
            <w:pPr>
              <w:spacing w:after="32" w:before="32"/>
            </w:pPr>
            <w:r>
              <w:rPr>
                <w:rFonts w:ascii="Arial" w:cs="Arial" w:eastAsia="Arial" w:hAnsi="Arial"/>
                <w:b w:val="false"/>
                <w:bCs w:val="false"/>
                <w:i w:val="false"/>
                <w:iCs w:val="false"/>
                <w:color w:val="1A1A1A"/>
                <w:sz w:val="19"/>
                <w:szCs w:val="19"/>
              </w:rPr>
              <w:t xml:space="preserve">SafetyTrace records both the Channel B raw evaluation AND the causal suppression decision, so the clinical audit is complete.</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1.3  RAAS Creatinine Monitoring Protocol</w:t>
      </w:r>
    </w:p>
    <w:p>
      <w:pPr>
        <w:spacing w:after="80" w:before="60"/>
      </w:pPr>
      <w:r>
        <w:rPr>
          <w:rFonts w:ascii="Arial" w:cs="Arial" w:eastAsia="Arial" w:hAnsi="Arial"/>
          <w:b w:val="false"/>
          <w:bCs w:val="false"/>
          <w:i w:val="false"/>
          <w:iCs w:val="false"/>
          <w:color w:val="1A1A1A"/>
          <w:sz w:val="20"/>
          <w:szCs w:val="20"/>
        </w:rPr>
        <w:t xml:space="preserve">When PG-14 triggers PAUSE rather than HALT, KB-23 must generate a specific MEDICATION_REVIEW card with an embedded monitoring protocol — not a generic card.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Timepoint</w:t>
            </w:r>
          </w:p>
        </w:tc>
        <w:tc>
          <w:tcPr>
            <w:tcW w:type="dxa" w:w="7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Required Action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Day 7 post-RAAS change</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Repeat creatinine + K+. If rise now &gt;30% from baseline OR K+&gt;5.5 → escalate to HALT. If rise &lt;30% and K+&lt;5.5 → continue PAUSE, schedule Day 14 check.</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Day 14 post-RAAS change</w:t>
            </w:r>
          </w:p>
        </w:tc>
        <w:tc>
          <w:tcPr>
            <w:tcW w:type="dxa" w:w="7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Repeat creatinine + K+. If creatinine rise has stabilised (within 30% of new baseline) → resume SAFE, continue RAAS at new dose. New baseline set.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Day 30 post-RAAS change</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eGFR recalculation. If eGFR now &gt;5% below pre-change value AND still declining → HALT, nephrologist referral suggested.</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If creatinine continues rising beyond Day 14</w:t>
            </w:r>
          </w:p>
        </w:tc>
        <w:tc>
          <w:tcPr>
            <w:tcW w:type="dxa" w:w="7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Genuine AKI pattern, not expected RAAS response → HALT, stop RAAS, nephrology referral</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Amendment 2 — Antihypertensive TreatmentPerturbation Windows</w:t>
      </w:r>
    </w:p>
    <w:p>
      <w:pPr>
        <w:spacing w:after="80" w:before="60"/>
      </w:pPr>
      <w:r>
        <w:rPr>
          <w:rFonts w:ascii="Arial" w:cs="Arial" w:eastAsia="Arial" w:hAnsi="Arial"/>
          <w:b w:val="false"/>
          <w:bCs w:val="false"/>
          <w:i w:val="false"/>
          <w:iCs w:val="false"/>
          <w:color w:val="1A1A1A"/>
          <w:sz w:val="20"/>
          <w:szCs w:val="20"/>
        </w:rPr>
        <w:t xml:space="preserve">The AG-01 TreatmentPerturbation system in KB-22 currently tracks insulin and diabetes drug changes. Antihypertensive drug changes also create perturbation windows that should dampen interpretation of both BP and metabolic signals. This was implicit in the original proposal's CausalContext design but needs to be fully specified.</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2.1  Perturbation Windows by Antihypertensive Drug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Drug / Change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Affected Signal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Window Duration</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Dampening Rationale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SGLT2i added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(−3 to −5 mmHg expected)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 weeks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 fall is medication effect, not hypertensive control. Do not credit antihypertensive regimen or deprescribe antihypertensive based on BP fall within this window.</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SGLT2i stopped</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(+3 to +5 mmHg expected)</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 weeks</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 rise after SGLT2i stop is expected. Do not generate HYPERTENSION_REVIEW or escalate antihypertensive during this window. Monitor only.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ACEi/ARB started or dose increased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Creatinine (+10–30% expected), eGFR (transient dip)</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14 days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See Amendment 1. Creatinine rise is expected RAAS physiology.</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ACEi/ARB stopped</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Creatinine (may improve transiently), K+ (falls)</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 days</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Post-RAAS creatinine improvement may falsely suggest AKI was correct diagnosis. Do not recalibrate AKI flags based on this.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Thiazide added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 (−0.3 to −0.5 mmol/L expected)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 weeks</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Mild hypokalaemia is expected. Do not flag as dangerous until K+ &lt;3.3. PG-11 threshold remains at &lt;3.5 but include causal context in card.</w:t>
            </w:r>
          </w:p>
        </w:tc>
      </w:tr>
      <w:tr>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Beta-blocker added or dose increased</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HR (decrease expected), glucose (minor rise possible)</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 weeks</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HR fall is therapeutic, not bradycardia. Raise Channel B HR HALT threshold by 5 bpm during this window. Glucose perturbation may mask diabetic control — dampen HbA1c trajectory interpretation.</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2.2  Implementation in kb23_publisher.go and PerturbationService</w:t>
      </w:r>
    </w:p>
    <w:p>
      <w:pPr>
        <w:spacing w:after="80" w:before="60"/>
      </w:pPr>
      <w:r>
        <w:rPr>
          <w:rFonts w:ascii="Arial" w:cs="Arial" w:eastAsia="Arial" w:hAnsi="Arial"/>
          <w:b w:val="false"/>
          <w:bCs w:val="false"/>
          <w:i w:val="false"/>
          <w:iCs w:val="false"/>
          <w:color w:val="1A1A1A"/>
          <w:sz w:val="20"/>
          <w:szCs w:val="20"/>
        </w:rPr>
        <w:t xml:space="preserve">The PerturbationService already handles insulin perturbation windows via TreatmentPerturbation structs. Antihypertensive perturbations use the same struct with drug_class and affected_observables extended to include BP, creatinine, potassium, and heart_rate.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Extension to TreatmentPerturbation Struct</w:t>
            </w:r>
          </w:p>
          <w:p>
            <w:pPr>
              <w:spacing w:after="32" w:before="32"/>
            </w:pPr>
            <w:r>
              <w:rPr>
                <w:rFonts w:ascii="Arial" w:cs="Arial" w:eastAsia="Arial" w:hAnsi="Arial"/>
                <w:b w:val="false"/>
                <w:bCs w:val="false"/>
                <w:i w:val="false"/>
                <w:iCs w:val="false"/>
                <w:color w:val="1A1A1A"/>
                <w:sz w:val="19"/>
                <w:szCs w:val="19"/>
              </w:rPr>
              <w:t xml:space="preserve">drug_class: string — extend to include ACEi, ARB, SGLT2i, beta_blocker, thiazide, CCB</w:t>
            </w:r>
          </w:p>
          <w:p>
            <w:pPr>
              <w:spacing w:after="32" w:before="32"/>
            </w:pPr>
            <w:r>
              <w:rPr>
                <w:rFonts w:ascii="Arial" w:cs="Arial" w:eastAsia="Arial" w:hAnsi="Arial"/>
                <w:b w:val="false"/>
                <w:bCs w:val="false"/>
                <w:i w:val="false"/>
                <w:iCs w:val="false"/>
                <w:color w:val="1A1A1A"/>
                <w:sz w:val="19"/>
                <w:szCs w:val="19"/>
              </w:rPr>
              <w:t xml:space="preserve">affected_observables: []Observable — extend to include: SBP, DBP, creatinine, potassium, heart_rate, egfr</w:t>
            </w:r>
          </w:p>
          <w:p>
            <w:pPr>
              <w:spacing w:after="32" w:before="32"/>
            </w:pPr>
            <w:r>
              <w:rPr>
                <w:rFonts w:ascii="Arial" w:cs="Arial" w:eastAsia="Arial" w:hAnsi="Arial"/>
                <w:b w:val="false"/>
                <w:bCs w:val="false"/>
                <w:i w:val="false"/>
                <w:iCs w:val="false"/>
                <w:color w:val="1A1A1A"/>
                <w:sz w:val="19"/>
                <w:szCs w:val="19"/>
              </w:rPr>
              <w:t xml:space="preserve">expected_direction: UP | DOWN — allows interpretation dampening to be directional</w:t>
            </w:r>
          </w:p>
          <w:p>
            <w:pPr>
              <w:spacing w:after="32" w:before="32"/>
            </w:pPr>
            <w:r>
              <w:rPr>
                <w:rFonts w:ascii="Arial" w:cs="Arial" w:eastAsia="Arial" w:hAnsi="Arial"/>
                <w:b w:val="false"/>
                <w:bCs w:val="false"/>
                <w:i w:val="false"/>
                <w:iCs w:val="false"/>
                <w:color w:val="1A1A1A"/>
                <w:sz w:val="19"/>
                <w:szCs w:val="19"/>
              </w:rPr>
              <w:t xml:space="preserve">expected_magnitude_min / max: float64 — defines the normal range. Changes outside this range are not suppressed.</w:t>
            </w:r>
          </w:p>
          <w:p>
            <w:pPr>
              <w:spacing w:after="32" w:before="32"/>
            </w:pPr>
            <w:r>
              <w:rPr>
                <w:rFonts w:ascii="Arial" w:cs="Arial" w:eastAsia="Arial" w:hAnsi="Arial"/>
                <w:b w:val="false"/>
                <w:bCs w:val="false"/>
                <w:i w:val="false"/>
                <w:iCs w:val="false"/>
                <w:color w:val="1A1A1A"/>
                <w:sz w:val="19"/>
                <w:szCs w:val="19"/>
              </w:rPr>
              <w:t xml:space="preserve">causal_note: string — human-readable explanation surfaced in KB-23 CTL Panel 3 for physician transparency</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When V-MCU RunCycle detects a new medication change from FactStore, it creates a TreatmentPerturbation and stores it. Channel B and Channel C receive affected_observables via the orchestrator, same as beta_blocker_active pattern.</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Amendment 3 — Heart Rate: VitalFact Extension and Channel B Rules</w:t>
      </w:r>
    </w:p>
    <w:p>
      <w:pPr>
        <w:spacing w:after="80" w:before="60"/>
      </w:pPr>
      <w:r>
        <w:rPr>
          <w:rFonts w:ascii="Arial" w:cs="Arial" w:eastAsia="Arial" w:hAnsi="Arial"/>
          <w:b w:val="false"/>
          <w:bCs w:val="false"/>
          <w:i w:val="false"/>
          <w:iCs w:val="false"/>
          <w:color w:val="1A1A1A"/>
          <w:sz w:val="20"/>
          <w:szCs w:val="20"/>
        </w:rPr>
        <w:t xml:space="preserve">Heart rate is absent from the current architecture despite being directly relevant to the beta-blocker population (the highest-risk subgroup) and to haemodynamic instability detection. Document 9 correctly identified this omission.</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3.1  VitalFact Heart Rate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New VitalFact Field</w:t>
            </w:r>
          </w:p>
        </w:tc>
        <w:tc>
          <w:tcPr>
            <w:tcW w:type="dxa" w:w="7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Purpose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heart_rate: int (bpm)</w:t>
            </w:r>
          </w:p>
        </w:tc>
        <w:tc>
          <w:tcPr>
            <w:tcW w:type="dxa" w:w="7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Primary value. Measured simultaneously with BP — most BP cuffs report HR.</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hr_regularity: REGULAR | IRREGULAR | UNKNOWN</w:t>
            </w:r>
          </w:p>
        </w:tc>
        <w:tc>
          <w:tcPr>
            <w:tcW w:type="dxa" w:w="7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Irregular = possible atrial fibrillation. If irregular HR is detected with a BP cuff, KB-22 should be queued for palpitation/AF HPI session.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hr_context: RESTING | POST_ACTIVITY | STANDING | SUPINE</w:t>
            </w:r>
          </w:p>
        </w:tc>
        <w:tc>
          <w:tcPr>
            <w:tcW w:type="dxa" w:w="7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Resting HR &lt;60 is bradycardia. Post-activity HR &gt;130 is normal. Context required for correct interpretation.</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3.2  New Channel B Heart Rate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4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Rule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Condition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Gate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Rationale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B-13</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HR &lt; 45 bpm (resting, hr_context=RESTING, confirmed 2 readings)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Symptomatic bradycardia risk, particularly in elderly patients on beta-blocker + other rate-limiting drugs (verapamil, diltiazem). Complete AV block risk.</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B-14</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HR &lt; 55 bpm AND beta_blocker_active = true AND dose_change_within_7d = true</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4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Symptomatic bradycardia following beta-blocker dose increase. Expected but requires monitoring before resuming insulin titration. Rate-related haemodynamic compromise may impair glucose counter-regulation.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B-15</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HR &gt; 120 bpm (resting, hr_context=RESTING, confirmed 2 readings)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Resting tachycardia indicates physiological stress — sepsis, decompensated heart failure, significant anaemia, hyperthyroidism, severe pain, or severe hypoglycaemia rebound. All are titration-stop conditions.</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B-16</w:t>
            </w:r>
          </w:p>
        </w:tc>
        <w:tc>
          <w:tcPr>
            <w:tcW w:type="dxa" w:w="28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hr_regularity = IRREGULAR (confirmed 2 readings)</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 + KB22_TRIGGER</w:t>
            </w:r>
          </w:p>
        </w:tc>
        <w:tc>
          <w:tcPr>
            <w:tcW w:type="dxa" w:w="4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Possible atrial fibrillation. Cannot assess haemodynamic stability reliably. Trigger a KB-22 HPI session specifically for palpitation assessment. Channel C may need to flag anticoagulation safety with existing medications.</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3.3  Irregular Heart Rate and Atrial Fibrillation — Architectural Note</w:t>
      </w:r>
    </w:p>
    <w:p>
      <w:pPr>
        <w:spacing w:after="80" w:before="60"/>
      </w:pPr>
      <w:r>
        <w:rPr>
          <w:rFonts w:ascii="Arial" w:cs="Arial" w:eastAsia="Arial" w:hAnsi="Arial"/>
          <w:b w:val="false"/>
          <w:bCs w:val="false"/>
          <w:i w:val="false"/>
          <w:iCs w:val="false"/>
          <w:color w:val="1A1A1A"/>
          <w:sz w:val="20"/>
          <w:szCs w:val="20"/>
        </w:rPr>
        <w:t xml:space="preserve">Atrial fibrillation is highly prevalent in the DM+HTN+CKD population — approximately 3-5x higher prevalence than the general population. It matters for this architecture for two reasons beyond haemodynamic instability.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00" w:sz="1"/>
              <w:left w:val="single" w:color="C05000" w:sz="16"/>
              <w:bottom w:val="single" w:color="C05000" w:sz="1"/>
              <w:right w:val="single" w:color="C05000" w:sz="1"/>
            </w:tcBorders>
            <w:shd w:fill="FFF8F0" w:val="clear"/>
            <w:tcMar>
              <w:top w:type="dxa" w:w="120"/>
              <w:left w:type="dxa" w:w="200"/>
              <w:bottom w:type="dxa" w:w="120"/>
              <w:right w:type="dxa" w:w="160"/>
            </w:tcMar>
          </w:tcPr>
          <w:p>
            <w:pPr>
              <w:spacing w:after="80" w:before="40"/>
            </w:pPr>
            <w:r>
              <w:rPr>
                <w:rFonts w:ascii="Arial" w:cs="Arial" w:eastAsia="Arial" w:hAnsi="Arial"/>
                <w:b/>
                <w:bCs/>
                <w:i w:val="false"/>
                <w:iCs w:val="false"/>
                <w:color w:val="C05000"/>
                <w:sz w:val="20"/>
                <w:szCs w:val="20"/>
              </w:rPr>
              <w:t xml:space="preserve">AF Detection Implications for Vaidshala</w:t>
            </w:r>
          </w:p>
          <w:p>
            <w:pPr>
              <w:spacing w:after="32" w:before="32"/>
            </w:pPr>
            <w:r>
              <w:rPr>
                <w:rFonts w:ascii="Arial" w:cs="Arial" w:eastAsia="Arial" w:hAnsi="Arial"/>
                <w:b w:val="false"/>
                <w:bCs w:val="false"/>
                <w:i w:val="false"/>
                <w:iCs w:val="false"/>
                <w:color w:val="1A1A1A"/>
                <w:sz w:val="19"/>
                <w:szCs w:val="19"/>
              </w:rPr>
              <w:t xml:space="preserve">1. Anticoagulation interaction with existing medications: If AF is detected (confirmed by ECG or two irregular readings), the physician will consider anticoagulation. Anticoagulants interact with metformin (minor), SGLT2i (haematocrit effect), and NSAIDs (if used for pain). Channel C PG-15 should be specified: confirmed_af = true → PAUSE + safety instruction re anticoagulation review.</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2. BP measurement accuracy: Irregular rhythm makes oscillometric BP cuffs less accurate. A patient in AF may have a VitalFact BP reading with higher uncertainty. Add measurement_uncertainty: HIGH flag when hr_regularity = IRREGULAR. Channel B should not fire hard HALT on a single BP reading flagged as HIGH uncertainty.</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3. This creates a new KB-22 differential pathway: irregular_hr_detected (from VitalFact) → add AF to differential list with elevated prior before symptom elicitation begins.</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Amendment 4 — Antihypertensive Adherence as a Separate KB-21 Track</w:t>
      </w:r>
    </w:p>
    <w:p>
      <w:pPr>
        <w:spacing w:after="80" w:before="60"/>
      </w:pPr>
      <w:r>
        <w:rPr>
          <w:rFonts w:ascii="Arial" w:cs="Arial" w:eastAsia="Arial" w:hAnsi="Arial"/>
          <w:b w:val="false"/>
          <w:bCs w:val="false"/>
          <w:i w:val="false"/>
          <w:iCs w:val="false"/>
          <w:color w:val="1A1A1A"/>
          <w:sz w:val="20"/>
          <w:szCs w:val="20"/>
        </w:rPr>
        <w:t xml:space="preserve">KB-21 currently tracks adherence for diabetes drug classes. Antihypertensive adherence is a separate and clinically distinct problem that is frequently the real cause of uncontrolled BP before any dose escalation is justified.</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4.1  The Clinical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Adherence Pattern</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Consequence if System Ignores It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Patient takes antihypertensive 3 of 7 days (intermittent adherence)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 will be above target. System generates HYPERTENSION_REVIEW. Physician increases dose. Patient still takes 3 of 7 days at higher dose. BP still not controlled. Dose escalation loop without clinical benefit.</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Patient stops antihypertensive due to side effects (cough, oedema, dizziness) without telling physician</w:t>
            </w:r>
          </w:p>
        </w:tc>
        <w:tc>
          <w:tcPr>
            <w:tcW w:type="dxa" w:w="6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 rises sharply. System generates URGENCY alert. Physician reacts to a clinical emergency caused by inadvertent discontinuation.</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Patient takes antihypertensive inconsistently due to cost (common in Indian primary care context)</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loop_trust_score may be low. Genuine cost barrier — different intervention needed (generic switch, Jan Aushadhi), not dose escalation.</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4.2  KB-21 Antihypertensive Adherence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New Adherence Track in KB-21</w:t>
            </w:r>
          </w:p>
          <w:p>
            <w:pPr>
              <w:spacing w:after="32" w:before="32"/>
            </w:pPr>
            <w:r>
              <w:rPr>
                <w:rFonts w:ascii="Arial" w:cs="Arial" w:eastAsia="Arial" w:hAnsi="Arial"/>
                <w:b w:val="false"/>
                <w:bCs w:val="false"/>
                <w:i w:val="false"/>
                <w:iCs w:val="false"/>
                <w:color w:val="1A1A1A"/>
                <w:sz w:val="19"/>
                <w:szCs w:val="19"/>
              </w:rPr>
              <w:t xml:space="preserve">antihypertensive_adherence: map[DrugClass]float64 — parallel to the existing diabetes drug adherence map.</w:t>
            </w:r>
          </w:p>
          <w:p>
            <w:pPr>
              <w:spacing w:after="32" w:before="32"/>
            </w:pPr>
            <w:r>
              <w:rPr>
                <w:rFonts w:ascii="Arial" w:cs="Arial" w:eastAsia="Arial" w:hAnsi="Arial"/>
                <w:b w:val="false"/>
                <w:bCs w:val="false"/>
                <w:i w:val="false"/>
                <w:iCs w:val="false"/>
                <w:color w:val="1A1A1A"/>
                <w:sz w:val="19"/>
                <w:szCs w:val="19"/>
              </w:rPr>
              <w:t xml:space="preserve">Assessed via Tier -1 weekly check-in: 'Did you take your blood pressure tablet [drug name] every day this week?'</w:t>
            </w:r>
          </w:p>
          <w:p>
            <w:pPr>
              <w:spacing w:after="32" w:before="32"/>
            </w:pPr>
            <w:r>
              <w:rPr>
                <w:rFonts w:ascii="Arial" w:cs="Arial" w:eastAsia="Arial" w:hAnsi="Arial"/>
                <w:b w:val="false"/>
                <w:bCs w:val="false"/>
                <w:i w:val="false"/>
                <w:iCs w:val="false"/>
                <w:color w:val="1A1A1A"/>
                <w:sz w:val="19"/>
                <w:szCs w:val="19"/>
              </w:rPr>
              <w:t xml:space="preserve">FDC-aware: many Indian patients take a fixed-dose combination antihypertensive (e.g., telmisartan+amlodipine in a single tablet). KB-21 must handle FDC antihypertensives the same way it handles FDC diabetes drugs.</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antihypertensive adherence_reason: COST | SIDE_EFFECT | FORGOT | SUPPLY | UNKNOWN — captured via follow-up question when adherence &lt;0.7.</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Gate logic: Before generating HYPERTENSION_REVIEW (dose escalation recommendation), KB-23 must check antihypertensive_adherence. If adherence &lt;0.7, the HYPERTENSION_REVIEW card should lead with: 'Antihypertensive adherence is 60% this month. Optimise adherence before considering dose increase.' This prevents medication escalation in adherence-failure cases.</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4.3  Integration Point: HYPERTENSION_REVIEW Card Adherence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antihypertensive_adherence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HYPERTENSION_REVIEW Card Behaviour</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Recommended Action in Card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&gt;= 0.85 (good adherence)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Standard dose escalation pathway</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Review regimen. Consider dose increase or add second agent as per guideline.</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0.60 – 0.84 (suboptimal)</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Card leads with adherence finding</w:t>
            </w:r>
          </w:p>
        </w:tc>
        <w:tc>
          <w:tcPr>
            <w:tcW w:type="dxa" w:w="3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Optimise adherence first. If BP above target for 8+ more weeks at &gt;0.85 adherence then escalate.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&lt; 0.60 (poor adherence)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Card is an adherence intervention card, not a dose card</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Identify reason (cost, side effect, supply). Address barrier. Do not escalate dose.</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Side effect suspected (adherence_reason = SIDE_EFFECT)</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Route to KB-22 HPI for side effect characterisation</w:t>
            </w:r>
          </w:p>
        </w:tc>
        <w:tc>
          <w:tcPr>
            <w:tcW w:type="dxa" w:w="3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Identify specific side effect. Suggest drug switch before dose change.</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Amendment 5 — ACEi Cough and ARB Switch Logic</w:t>
      </w:r>
    </w:p>
    <w:p>
      <w:pPr>
        <w:spacing w:after="80" w:before="60"/>
      </w:pPr>
      <w:r>
        <w:rPr>
          <w:rFonts w:ascii="Arial" w:cs="Arial" w:eastAsia="Arial" w:hAnsi="Arial"/>
          <w:b w:val="false"/>
          <w:bCs w:val="false"/>
          <w:i w:val="false"/>
          <w:iCs w:val="false"/>
          <w:color w:val="1A1A1A"/>
          <w:sz w:val="20"/>
          <w:szCs w:val="20"/>
        </w:rPr>
        <w:t xml:space="preserve">ACE inhibitor dry cough is the most common cause of antihypertensive discontinuation in clinical practice. It is caused by bradykinin accumulation (ACEi mechanism), occurs in 5-15% of European patients, and in 25-40% of South Asian patients — a direct consequence of genetic variation in the bradykinin receptor (BDKRB2 polymorphisms). This is specifically relevant to the Vaidshala patient population.</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5.1  The Clinical Failure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6"/>
              <w:bottom w:val="single" w:color="C00000" w:sz="1"/>
              <w:right w:val="single" w:color="C00000" w:sz="1"/>
            </w:tcBorders>
            <w:shd w:fill="FCE4D6" w:val="clear"/>
            <w:tcMar>
              <w:top w:type="dxa" w:w="120"/>
              <w:left w:type="dxa" w:w="200"/>
              <w:bottom w:type="dxa" w:w="120"/>
              <w:right w:type="dxa" w:w="160"/>
            </w:tcMar>
          </w:tcPr>
          <w:p>
            <w:pPr>
              <w:spacing w:after="80" w:before="40"/>
            </w:pPr>
            <w:r>
              <w:rPr>
                <w:rFonts w:ascii="Arial" w:cs="Arial" w:eastAsia="Arial" w:hAnsi="Arial"/>
                <w:b/>
                <w:bCs/>
                <w:i w:val="false"/>
                <w:iCs w:val="false"/>
                <w:color w:val="C00000"/>
                <w:sz w:val="20"/>
                <w:szCs w:val="20"/>
              </w:rPr>
              <w:t xml:space="preserve">How ACEi Cough Causes BP Deterioration</w:t>
            </w:r>
          </w:p>
          <w:p>
            <w:pPr>
              <w:spacing w:after="32" w:before="32"/>
            </w:pPr>
            <w:r>
              <w:rPr>
                <w:rFonts w:ascii="Arial" w:cs="Arial" w:eastAsia="Arial" w:hAnsi="Arial"/>
                <w:b w:val="false"/>
                <w:bCs w:val="false"/>
                <w:i w:val="false"/>
                <w:iCs w:val="false"/>
                <w:color w:val="1A1A1A"/>
                <w:sz w:val="19"/>
                <w:szCs w:val="19"/>
              </w:rPr>
              <w:t xml:space="preserve">Patient is prescribed ramipril or enalapril (ACEi) for DM+HTN+CKD. Good clinical choice — renally protective.</w:t>
            </w:r>
          </w:p>
          <w:p>
            <w:pPr>
              <w:spacing w:after="32" w:before="32"/>
            </w:pPr>
            <w:r>
              <w:rPr>
                <w:rFonts w:ascii="Arial" w:cs="Arial" w:eastAsia="Arial" w:hAnsi="Arial"/>
                <w:b w:val="false"/>
                <w:bCs w:val="false"/>
                <w:i w:val="false"/>
                <w:iCs w:val="false"/>
                <w:color w:val="1A1A1A"/>
                <w:sz w:val="19"/>
                <w:szCs w:val="19"/>
              </w:rPr>
              <w:t xml:space="preserve">Within 2-6 weeks, patient develops dry persistent cough. This is not reported to the physician — patients often interpret it as a separate problem (infection, dust allergy).</w:t>
            </w:r>
          </w:p>
          <w:p>
            <w:pPr>
              <w:spacing w:after="32" w:before="32"/>
            </w:pPr>
            <w:r>
              <w:rPr>
                <w:rFonts w:ascii="Arial" w:cs="Arial" w:eastAsia="Arial" w:hAnsi="Arial"/>
                <w:b w:val="false"/>
                <w:bCs w:val="false"/>
                <w:i w:val="false"/>
                <w:iCs w:val="false"/>
                <w:color w:val="1A1A1A"/>
                <w:sz w:val="19"/>
                <w:szCs w:val="19"/>
              </w:rPr>
              <w:t xml:space="preserve">Patient stops taking ACEi or takes it intermittently. BP rises. KB-21 records declining antihypertensive adherence.</w:t>
            </w:r>
          </w:p>
          <w:p>
            <w:pPr>
              <w:spacing w:after="32" w:before="32"/>
            </w:pPr>
            <w:r>
              <w:rPr>
                <w:rFonts w:ascii="Arial" w:cs="Arial" w:eastAsia="Arial" w:hAnsi="Arial"/>
                <w:b w:val="false"/>
                <w:bCs w:val="false"/>
                <w:i w:val="false"/>
                <w:iCs w:val="false"/>
                <w:color w:val="1A1A1A"/>
                <w:sz w:val="19"/>
                <w:szCs w:val="19"/>
              </w:rPr>
              <w:t xml:space="preserve">System generates HYPERTENSION_REVIEW. Physician increases dose or adds second agent — neither of which addresses the actual problem (cough-driven discontinuation).</w:t>
            </w:r>
          </w:p>
          <w:p>
            <w:pPr>
              <w:spacing w:after="32" w:before="32"/>
            </w:pPr>
            <w:r>
              <w:rPr>
                <w:rFonts w:ascii="Arial" w:cs="Arial" w:eastAsia="Arial" w:hAnsi="Arial"/>
                <w:b w:val="false"/>
                <w:bCs w:val="false"/>
                <w:i w:val="false"/>
                <w:iCs w:val="false"/>
                <w:color w:val="1A1A1A"/>
                <w:sz w:val="19"/>
                <w:szCs w:val="19"/>
              </w:rPr>
              <w:t xml:space="preserve">Correct response: detect the cough, attribute it to ACEi, switch to ARB (same mechanism without bradykinin effect), adherence restores, BP controlled.</w:t>
            </w:r>
          </w:p>
          <w:p>
            <w:pPr>
              <w:spacing w:after="32" w:before="32"/>
            </w:pPr>
            <w:r>
              <w:rPr>
                <w:rFonts w:ascii="Arial" w:cs="Arial" w:eastAsia="Arial" w:hAnsi="Arial"/>
                <w:b w:val="false"/>
                <w:bCs w:val="false"/>
                <w:i w:val="false"/>
                <w:iCs w:val="false"/>
                <w:color w:val="1A1A1A"/>
                <w:sz w:val="19"/>
                <w:szCs w:val="19"/>
              </w:rPr>
              <w:t xml:space="preserve">This is entirely preventable with correct symptom detection logic.</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5.2  KB-22 ACEi Cough Detection</w:t>
      </w:r>
    </w:p>
    <w:p>
      <w:pPr>
        <w:spacing w:after="80" w:before="60"/>
      </w:pPr>
      <w:r>
        <w:rPr>
          <w:rFonts w:ascii="Arial" w:cs="Arial" w:eastAsia="Arial" w:hAnsi="Arial"/>
          <w:b w:val="false"/>
          <w:bCs w:val="false"/>
          <w:i w:val="false"/>
          <w:iCs w:val="false"/>
          <w:color w:val="1A1A1A"/>
          <w:sz w:val="20"/>
          <w:szCs w:val="20"/>
        </w:rPr>
        <w:t xml:space="preserve">A new symptom node must be added to KB-22 that fires specifically when a patient is on ACEi AND reports cough, with high prior for medication-induced cause.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KB-22 Node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Context Trigger</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Differential Weights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COUGH_ON_ACEI</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Patient on ACEi + cough reported via Tier-1 OR in HPI session</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ACEi-induced cough prior: 0.60 if dry, persistent, started within 6 weeks of ACEi. Infection prior: 0.20. Cardiac (HF) prior: 0.15. Other: 0.05.</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Discriminating questions</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'Is the cough dry (no phlegm)?' — Yes → increases ACEi-induced prior to 0.80. 'Did the cough start after starting your blood pressure tablet?' — Yes → 0.90. 'Does it happen day and night?' — Yes → further increases prior.</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High information gain from timing + character. Few questions needed.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Disposition at high posterior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If ACEi-induced cough posterior &gt;0.75 → KB-23 MEDICATION_REVIEW card: 'Likely ACEi-induced cough. Consider switching to ARB (e.g., telmisartan, losartan, candesartan). Same renal protection, no cough side effect.'</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Card recommendation, not autonomous switch</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5.3  Channel C PG-15 (Revised): ACEi + Cough Safety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Rule</w:t>
            </w:r>
          </w:p>
        </w:tc>
        <w:tc>
          <w:tcPr>
            <w:tcW w:type="dxa" w:w="4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Condition</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Gate + Action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PG-15</w:t>
            </w:r>
          </w:p>
        </w:tc>
        <w:tc>
          <w:tcPr>
            <w:tcW w:type="dxa" w:w="4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acei_active = true AND acei_induced_cough_probability &gt; 0.70 (from KB-22 session result)</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MODIFY: flag in KB-23 card. SAFETY_INSTRUCTION: 'Patient likely experiencing ACEi-induced cough. Recommend ARB switch at next physician encounter. Do not add antitussive — treat the cause, not the symptom.'</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Amendment 6 — Resistant Hypertension Classification</w:t>
      </w:r>
    </w:p>
    <w:p>
      <w:pPr>
        <w:spacing w:after="80" w:before="60"/>
      </w:pPr>
      <w:r>
        <w:rPr>
          <w:rFonts w:ascii="Arial" w:cs="Arial" w:eastAsia="Arial" w:hAnsi="Arial"/>
          <w:b w:val="false"/>
          <w:bCs w:val="false"/>
          <w:i w:val="false"/>
          <w:iCs w:val="false"/>
          <w:color w:val="1A1A1A"/>
          <w:sz w:val="20"/>
          <w:szCs w:val="20"/>
        </w:rPr>
        <w:t xml:space="preserve">Resistant hypertension is defined clinically as BP above target despite optimised doses of 3 or more antihypertensive drug classes (one of which must be a diuretic), with confirmed good adherence. Prevalence in DM+CKD patients is approximately 15-20%. These patients need specialist referral — the primary care correction loop is not equipped to manage them and should not keep escalating indefinitely.</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6.1  Resistant HTN Detection Logic in KB-20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1"/>
              <w:left w:val="single" w:color="6A0DAD" w:sz="16"/>
              <w:bottom w:val="single" w:color="6A0DAD" w:sz="1"/>
              <w:right w:val="single" w:color="6A0DAD" w:sz="1"/>
            </w:tcBorders>
            <w:shd w:fill="F3E5F5" w:val="clear"/>
            <w:tcMar>
              <w:top w:type="dxa" w:w="120"/>
              <w:left w:type="dxa" w:w="200"/>
              <w:bottom w:type="dxa" w:w="120"/>
              <w:right w:type="dxa" w:w="160"/>
            </w:tcMar>
          </w:tcPr>
          <w:p>
            <w:pPr>
              <w:spacing w:after="80" w:before="40"/>
            </w:pPr>
            <w:r>
              <w:rPr>
                <w:rFonts w:ascii="Arial" w:cs="Arial" w:eastAsia="Arial" w:hAnsi="Arial"/>
                <w:b/>
                <w:bCs/>
                <w:i w:val="false"/>
                <w:iCs w:val="false"/>
                <w:color w:val="6A0DAD"/>
                <w:sz w:val="20"/>
                <w:szCs w:val="20"/>
              </w:rPr>
              <w:t xml:space="preserve">Classification Criteria (all must be met)</w:t>
            </w:r>
          </w:p>
          <w:p>
            <w:pPr>
              <w:spacing w:after="32" w:before="32"/>
            </w:pPr>
            <w:r>
              <w:rPr>
                <w:rFonts w:ascii="Arial" w:cs="Arial" w:eastAsia="Arial" w:hAnsi="Arial"/>
                <w:b w:val="false"/>
                <w:bCs w:val="false"/>
                <w:i w:val="false"/>
                <w:iCs w:val="false"/>
                <w:color w:val="1A1A1A"/>
                <w:sz w:val="19"/>
                <w:szCs w:val="19"/>
              </w:rPr>
              <w:t xml:space="preserve">1. BP above target (as per patient-stratum-specific target in kb23 templates)</w:t>
            </w:r>
          </w:p>
          <w:p>
            <w:pPr>
              <w:spacing w:after="32" w:before="32"/>
            </w:pPr>
            <w:r>
              <w:rPr>
                <w:rFonts w:ascii="Arial" w:cs="Arial" w:eastAsia="Arial" w:hAnsi="Arial"/>
                <w:b w:val="false"/>
                <w:bCs w:val="false"/>
                <w:i w:val="false"/>
                <w:iCs w:val="false"/>
                <w:color w:val="1A1A1A"/>
                <w:sz w:val="19"/>
                <w:szCs w:val="19"/>
              </w:rPr>
              <w:t xml:space="preserve">2. Three or more antihypertensive drug classes active at optimised doses (physician-confirmed, not just prescribed)</w:t>
            </w:r>
          </w:p>
          <w:p>
            <w:pPr>
              <w:spacing w:after="32" w:before="32"/>
            </w:pPr>
            <w:r>
              <w:rPr>
                <w:rFonts w:ascii="Arial" w:cs="Arial" w:eastAsia="Arial" w:hAnsi="Arial"/>
                <w:b w:val="false"/>
                <w:bCs w:val="false"/>
                <w:i w:val="false"/>
                <w:iCs w:val="false"/>
                <w:color w:val="1A1A1A"/>
                <w:sz w:val="19"/>
                <w:szCs w:val="19"/>
              </w:rPr>
              <w:t xml:space="preserve">3. One of the three classes is a diuretic</w:t>
            </w:r>
          </w:p>
          <w:p>
            <w:pPr>
              <w:spacing w:after="32" w:before="32"/>
            </w:pPr>
            <w:r>
              <w:rPr>
                <w:rFonts w:ascii="Arial" w:cs="Arial" w:eastAsia="Arial" w:hAnsi="Arial"/>
                <w:b w:val="false"/>
                <w:bCs w:val="false"/>
                <w:i w:val="false"/>
                <w:iCs w:val="false"/>
                <w:color w:val="1A1A1A"/>
                <w:sz w:val="19"/>
                <w:szCs w:val="19"/>
              </w:rPr>
              <w:t xml:space="preserve">4. antihypertensive_adherence &gt;= 0.85 (good adherence confirmed — pseudo-resistance excluded)</w:t>
            </w:r>
          </w:p>
          <w:p>
            <w:pPr>
              <w:spacing w:after="32" w:before="32"/>
            </w:pPr>
            <w:r>
              <w:rPr>
                <w:rFonts w:ascii="Arial" w:cs="Arial" w:eastAsia="Arial" w:hAnsi="Arial"/>
                <w:b w:val="false"/>
                <w:bCs w:val="false"/>
                <w:i w:val="false"/>
                <w:iCs w:val="false"/>
                <w:color w:val="1A1A1A"/>
                <w:sz w:val="19"/>
                <w:szCs w:val="19"/>
              </w:rPr>
              <w:t xml:space="preserve">5. Sustained for 12+ consecutive weeks</w:t>
            </w:r>
          </w:p>
          <w:p>
            <w:pPr>
              <w:spacing w:after="32" w:before="32"/>
            </w:pPr>
            <w:r>
              <w:rPr>
                <w:rFonts w:ascii="Arial" w:cs="Arial" w:eastAsia="Arial" w:hAnsi="Arial"/>
                <w:b w:val="false"/>
                <w:bCs w:val="false"/>
                <w:i w:val="false"/>
                <w:iCs w:val="false"/>
                <w:color w:val="1A1A1A"/>
                <w:sz w:val="19"/>
                <w:szCs w:val="19"/>
              </w:rPr>
              <w:t xml:space="preserve">6. White coat hypertension excluded (home readings also above target)</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When all criteria met: KB-20 emits RESISTANT_HTN_DETECTED event.</w:t>
            </w:r>
          </w:p>
          <w:p>
            <w:pPr>
              <w:spacing w:after="32" w:before="32"/>
            </w:pPr>
            <w:r>
              <w:rPr>
                <w:rFonts w:ascii="Arial" w:cs="Arial" w:eastAsia="Arial" w:hAnsi="Arial"/>
                <w:b w:val="false"/>
                <w:bCs w:val="false"/>
                <w:i w:val="false"/>
                <w:iCs w:val="false"/>
                <w:color w:val="1A1A1A"/>
                <w:sz w:val="19"/>
                <w:szCs w:val="19"/>
              </w:rPr>
              <w:t xml:space="preserve">KB-23 generates HYPERTENSION_REVIEW with RESISTANT flag and specific recommendation: 'Possible resistant hypertension. Consider specialist referral. Investigate secondary causes: primary aldosteronism (most common), renal artery stenosis, obstructive sleep apnoea, phaeochromocytoma.'</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6.2  Secondary Hypertension Red Flags in KB-22</w:t>
      </w:r>
    </w:p>
    <w:p>
      <w:pPr>
        <w:spacing w:after="80" w:before="60"/>
      </w:pPr>
      <w:r>
        <w:rPr>
          <w:rFonts w:ascii="Arial" w:cs="Arial" w:eastAsia="Arial" w:hAnsi="Arial"/>
          <w:b w:val="false"/>
          <w:bCs w:val="false"/>
          <w:i w:val="false"/>
          <w:iCs w:val="false"/>
          <w:color w:val="1A1A1A"/>
          <w:sz w:val="20"/>
          <w:szCs w:val="20"/>
        </w:rPr>
        <w:t xml:space="preserve">Resistant hypertension in a DM+CKD patient requires systematic secondary cause investigation. KB-22 should have nodes for these specific patterns: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Secondary Cause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Prevalence in DM+HTN</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KB-22 Symptom Pattern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Primary hyperaldosteronism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8-12% of resistant HTN</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Spontaneous hypokalaemia (K+ &lt;3.5 without diuretics), muscle weakness, polyuria. Also common incidental finding — ask about weight and fatigue.</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Obstructive sleep apnoea (OSA)</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30-40% of DM+HTN+obesity</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Morning headache, excessive daytime sleepiness, partner reports snoring/apnoea, nocturia, nocturnal hypertension. STOP-BANG questionnaire items in KB-22.</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Renal artery stenosis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3-5% of resistant HTN, higher with CKD</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Flash pulmonary oedema, BP suddenly hard to control despite prior stability, asymmetric kidney sizes (if imaging available), ACEi causes acute large creatinine rise.</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Phaeochromocytoma</w:t>
            </w:r>
          </w:p>
        </w:tc>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0.5-1% but dangerous if missed</w:t>
            </w:r>
          </w:p>
        </w:tc>
        <w:tc>
          <w:tcPr>
            <w:tcW w:type="dxa" w:w="4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Episodic hypertension + headache + palpitations + diaphoresis triad. KB-22 nodes for this 3-symptom cluster already overlap with hypoglycaemia — disambiguation needed.</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Amendment 7 — BP Variability as an Independent Stroke Risk Marker</w:t>
      </w:r>
    </w:p>
    <w:p>
      <w:pPr>
        <w:spacing w:after="80" w:before="60"/>
      </w:pPr>
      <w:r>
        <w:rPr>
          <w:rFonts w:ascii="Arial" w:cs="Arial" w:eastAsia="Arial" w:hAnsi="Arial"/>
          <w:b w:val="false"/>
          <w:bCs w:val="false"/>
          <w:i w:val="false"/>
          <w:iCs w:val="false"/>
          <w:color w:val="1A1A1A"/>
          <w:sz w:val="20"/>
          <w:szCs w:val="20"/>
        </w:rPr>
        <w:t xml:space="preserve">This is a clinically important metric that neither the original proposal nor the two review documents addressed, despite strong evidence. Visit-to-visit BP variability (the standard deviation of SBP across consecutive clinic or home readings) is an independent predictor of stroke, myocardial infarction, and CKD progression — independent of mean BP level.</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7.1  The Clinical Evidence</w:t>
      </w:r>
    </w:p>
    <w:p>
      <w:pPr>
        <w:spacing w:after="80" w:before="60"/>
      </w:pPr>
      <w:r>
        <w:rPr>
          <w:rFonts w:ascii="Arial" w:cs="Arial" w:eastAsia="Arial" w:hAnsi="Arial"/>
          <w:b w:val="false"/>
          <w:bCs w:val="false"/>
          <w:i w:val="false"/>
          <w:iCs w:val="false"/>
          <w:color w:val="1A1A1A"/>
          <w:sz w:val="20"/>
          <w:szCs w:val="20"/>
        </w:rPr>
        <w:t xml:space="preserve">Multiple large cohort studies (ASCOT, ACCOMPLISH, MRC) showed that high SBP variability predicted stroke even after adjusting for mean SBP. The mechanism: repeated haemodynamic stress cycles (high-low-high SBP) are more damaging to vessel walls and glomeruli than sustained moderate elevation. A patient with SBP readings of 130, 155, 128, 162, 134 over 5 clinic visits has the same mean (~142 mmHg) as a patient consistently at 142 — but substantially higher cardiovascular risk.</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7.2  KB-20 BP Variability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Addition to BPTrajectory Struct</w:t>
            </w:r>
          </w:p>
          <w:p>
            <w:pPr>
              <w:spacing w:after="32" w:before="32"/>
            </w:pPr>
            <w:r>
              <w:rPr>
                <w:rFonts w:ascii="Arial" w:cs="Arial" w:eastAsia="Arial" w:hAnsi="Arial"/>
                <w:b w:val="false"/>
                <w:bCs w:val="false"/>
                <w:i w:val="false"/>
                <w:iCs w:val="false"/>
                <w:color w:val="1A1A1A"/>
                <w:sz w:val="19"/>
                <w:szCs w:val="19"/>
              </w:rPr>
              <w:t xml:space="preserve">sbp_visit_variability: float64 — SD of clinic SBP readings over last 5 visits (minimum 4 readings required)</w:t>
            </w:r>
          </w:p>
          <w:p>
            <w:pPr>
              <w:spacing w:after="32" w:before="32"/>
            </w:pPr>
            <w:r>
              <w:rPr>
                <w:rFonts w:ascii="Arial" w:cs="Arial" w:eastAsia="Arial" w:hAnsi="Arial"/>
                <w:b w:val="false"/>
                <w:bCs w:val="false"/>
                <w:i w:val="false"/>
                <w:iCs w:val="false"/>
                <w:color w:val="1A1A1A"/>
                <w:sz w:val="19"/>
                <w:szCs w:val="19"/>
              </w:rPr>
              <w:t xml:space="preserve">dbp_visit_variability: float64</w:t>
            </w:r>
          </w:p>
          <w:p>
            <w:pPr>
              <w:spacing w:after="32" w:before="32"/>
            </w:pPr>
            <w:r>
              <w:rPr>
                <w:rFonts w:ascii="Arial" w:cs="Arial" w:eastAsia="Arial" w:hAnsi="Arial"/>
                <w:b w:val="false"/>
                <w:bCs w:val="false"/>
                <w:i w:val="false"/>
                <w:iCs w:val="false"/>
                <w:color w:val="1A1A1A"/>
                <w:sz w:val="19"/>
                <w:szCs w:val="19"/>
              </w:rPr>
              <w:t xml:space="preserve">variability_status: LOW (&lt;10 mmHg SD) | MODERATE (10-15) | HIGH (&gt;15 mmHg SD)</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Thresholds: SD &gt;15 mmHg across visits = HIGH variability. Clinical significance threshold: SD &gt;10 mmHg is actionable.</w:t>
            </w:r>
          </w:p>
          <w:p>
            <w:pPr>
              <w:spacing w:after="32" w:before="32"/>
            </w:pPr>
            <w:r>
              <w:rPr>
                <w:rFonts w:ascii="Arial" w:cs="Arial" w:eastAsia="Arial" w:hAnsi="Arial"/>
                <w:b w:val="false"/>
                <w:bCs w:val="false"/>
                <w:i w:val="false"/>
                <w:iCs w:val="false"/>
                <w:color w:val="1A1A1A"/>
                <w:sz w:val="19"/>
                <w:szCs w:val="19"/>
              </w:rPr>
              <w:t xml:space="preserve">Event emitted: BP_VARIABILITY_ALERT when variability_status transitions to HIGH.</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Clinical context: HIGH variability may indicate: intermittent antihypertensive adherence (most common cause), autonomic neuropathy (DM complication — blunted baroreflex), white coat effect overlaid on genuine readings, medication timing issues (dose wearing off before next dose — chronotherapy indication).</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KB-23 card behaviour: HIGH variability generates a specific HYPERTENSION_REVIEW note: 'BP variability is elevated (SD &gt;15 mmHg). This independently increases stroke risk. Address variability alongside mean BP level. Consider twice-daily dosing if once-daily medication may not provide 24h coverage.'</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Amendment 8 — The J-Curve Problem in CKD Patients</w:t>
      </w:r>
    </w:p>
    <w:p>
      <w:pPr>
        <w:spacing w:after="80" w:before="60"/>
      </w:pPr>
      <w:r>
        <w:rPr>
          <w:rFonts w:ascii="Arial" w:cs="Arial" w:eastAsia="Arial" w:hAnsi="Arial"/>
          <w:b w:val="false"/>
          <w:bCs w:val="false"/>
          <w:i w:val="false"/>
          <w:iCs w:val="false"/>
          <w:color w:val="1A1A1A"/>
          <w:sz w:val="20"/>
          <w:szCs w:val="20"/>
        </w:rPr>
        <w:t xml:space="preserve">The J-curve phenomenon describes the observation that in patients with established CKD or cardiovascular disease, BP lowering below a certain floor worsens rather than improves outcomes. This is because the kidneys (especially in CKD) depend on adequate perfusion pressure to maintain residual function. Aggressive BP lowering in Stage 3+ CKD can reduce renal blood flow and accelerate eGFR decline — the opposite of the intended therapeutic goal.</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8.1  J-Curve Thresholds by CKD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CKD Stage (eGFR)</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Standard SBP Lower Limit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CKD-Specific Lower Limit</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Basis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Stage 1-2 (eGFR &gt;60)</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&gt;90 — Channel B B-08</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 modification</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Normal renal autoregulation intact</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Stage 3a (eGFR 45-59)</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&gt;90</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&gt;100 — PAUSE if below</w:t>
            </w:r>
          </w:p>
        </w:tc>
        <w:tc>
          <w:tcPr>
            <w:tcW w:type="dxa" w:w="2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Autoregulatory range narrowing — lower tolerance for hypotension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Stage 3b (eGFR 30-44)</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&gt;90</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&gt;105 — PAUSE if below</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Significantly impaired autoregulation — renal perfusion highly pressure-dependent</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Stage 4 (eGFR 15-29)</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&gt;90</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SBP &gt;110 — HALT if below 100, PAUSE if 100-110</w:t>
            </w:r>
          </w:p>
        </w:tc>
        <w:tc>
          <w:tcPr>
            <w:tcW w:type="dxa" w:w="2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Near-dialysis kidney — highly susceptible to perfusion drops. These patients often have a very narrow BP window.</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6"/>
              <w:bottom w:val="single" w:color="BF8F00" w:sz="1"/>
              <w:right w:val="single" w:color="BF8F00" w:sz="1"/>
            </w:tcBorders>
            <w:shd w:fill="FFF2CC" w:val="clear"/>
            <w:tcMar>
              <w:top w:type="dxa" w:w="120"/>
              <w:left w:type="dxa" w:w="200"/>
              <w:bottom w:type="dxa" w:w="120"/>
              <w:right w:type="dxa" w:w="160"/>
            </w:tcMar>
          </w:tcPr>
          <w:p>
            <w:pPr>
              <w:spacing w:after="80" w:before="40"/>
            </w:pPr>
            <w:r>
              <w:rPr>
                <w:rFonts w:ascii="Arial" w:cs="Arial" w:eastAsia="Arial" w:hAnsi="Arial"/>
                <w:b/>
                <w:bCs/>
                <w:i w:val="false"/>
                <w:iCs w:val="false"/>
                <w:color w:val="BF8F00"/>
                <w:sz w:val="20"/>
                <w:szCs w:val="20"/>
              </w:rPr>
              <w:t xml:space="preserve">Implementation: eGFR-Stratified Channel B Lower BP Limit</w:t>
            </w:r>
          </w:p>
          <w:p>
            <w:pPr>
              <w:spacing w:after="32" w:before="32"/>
            </w:pPr>
            <w:r>
              <w:rPr>
                <w:rFonts w:ascii="Arial" w:cs="Arial" w:eastAsia="Arial" w:hAnsi="Arial"/>
                <w:b w:val="false"/>
                <w:bCs w:val="false"/>
                <w:i w:val="false"/>
                <w:iCs w:val="false"/>
                <w:color w:val="1A1A1A"/>
                <w:sz w:val="19"/>
                <w:szCs w:val="19"/>
              </w:rPr>
              <w:t xml:space="preserve">Channel B must apply patient-specific SBP lower limits derived from eGFR stratum.</w:t>
            </w:r>
          </w:p>
          <w:p>
            <w:pPr>
              <w:spacing w:after="32" w:before="32"/>
            </w:pPr>
            <w:r>
              <w:rPr>
                <w:rFonts w:ascii="Arial" w:cs="Arial" w:eastAsia="Arial" w:hAnsi="Arial"/>
                <w:b w:val="false"/>
                <w:bCs w:val="false"/>
                <w:i w:val="false"/>
                <w:iCs w:val="false"/>
                <w:color w:val="1A1A1A"/>
                <w:sz w:val="19"/>
                <w:szCs w:val="19"/>
              </w:rPr>
              <w:t xml:space="preserve">The orchestrator (RunCycle) computes sbp_lower_limit from current eGFR (from KB-20 LabEntry) and passes it in RawInputs alongside beta_blocker_active.</w:t>
            </w:r>
          </w:p>
          <w:p>
            <w:pPr>
              <w:spacing w:after="32" w:before="32"/>
            </w:pPr>
            <w:r>
              <w:rPr>
                <w:rFonts w:ascii="Arial" w:cs="Arial" w:eastAsia="Arial" w:hAnsi="Arial"/>
                <w:b w:val="false"/>
                <w:bCs w:val="false"/>
                <w:i w:val="false"/>
                <w:iCs w:val="false"/>
                <w:color w:val="1A1A1A"/>
                <w:sz w:val="19"/>
                <w:szCs w:val="19"/>
              </w:rPr>
              <w:t xml:space="preserve">Channel B rule B-12 (borderline hypotension) becomes: SBP &lt; sbp_lower_limit → PAUSE. B-08 remains SBP &lt; 90 → HALT as the absolute floor regardless of CKD stage.</w:t>
            </w:r>
          </w:p>
          <w:p>
            <w:pPr>
              <w:spacing w:after="32" w:before="32"/>
            </w:pPr>
            <w:r>
              <w:rPr>
                <w:rFonts w:ascii="Arial" w:cs="Arial" w:eastAsia="Arial" w:hAnsi="Arial"/>
                <w:b w:val="false"/>
                <w:bCs w:val="false"/>
                <w:i w:val="false"/>
                <w:iCs w:val="false"/>
                <w:color w:val="1A1A1A"/>
                <w:sz w:val="19"/>
                <w:szCs w:val="19"/>
              </w:rPr>
              <w:t xml:space="preserve">SafetyTrace records the applied threshold and the eGFR that produced it — physician sees this in CTL Panel 3.</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Amendment 9 — ACR Longitudinal Tracking as RAAS Efficacy Marker</w:t>
      </w:r>
    </w:p>
    <w:p>
      <w:pPr>
        <w:spacing w:after="80" w:before="60"/>
      </w:pPr>
      <w:r>
        <w:rPr>
          <w:rFonts w:ascii="Arial" w:cs="Arial" w:eastAsia="Arial" w:hAnsi="Arial"/>
          <w:b w:val="false"/>
          <w:bCs w:val="false"/>
          <w:i w:val="false"/>
          <w:iCs w:val="false"/>
          <w:color w:val="1A1A1A"/>
          <w:sz w:val="20"/>
          <w:szCs w:val="20"/>
        </w:rPr>
        <w:t xml:space="preserve">Urinary albumin-creatinine ratio (ACR) is the most sensitive early marker of diabetic nephropathy and the best monitor of RAAS therapy effectiveness. It is currently absent from KB-20's tracked laboratory parameters. This is a significant gap for a DM+CKD-focused product.</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9.1  Clinical Significance of ACR in This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ACR Level</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Category</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Architectural Implications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&lt;3 mg/mmol (&lt; ~30 mg/g)</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Normal / A1</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 proteinuria. Standard BP targets (DM: &lt;130/80). SGLT2i benefit is smaller but still present.</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3-30 mg/mmol (30-300 mg/g)</w:t>
            </w:r>
          </w:p>
        </w:tc>
        <w:tc>
          <w:tcPr>
            <w:tcW w:type="dxa" w:w="3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Microalbuminuria / A2</w:t>
            </w:r>
          </w:p>
        </w:tc>
        <w:tc>
          <w:tcPr>
            <w:tcW w:type="dxa" w:w="3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 or ARB mandatory (even if BP controlled) — proteinuria reduction is a goal independent of BP. BP target &lt;130/80. SGLT2i strongly indicated.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&gt;30 mg/mmol (&gt;300 mg/g)</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Macroalbuminuria / A3</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Most aggressive BP target &lt;125/75 (original proposal included this). RAAS intensification goal. SGLT2i indicated even at eGFR 25-45. Nephrologist involvement if ACR rising despite treatment.</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9.2  KB-20 ACR Longitudinal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Addition to LabEntry Pipeline</w:t>
            </w:r>
          </w:p>
          <w:p>
            <w:pPr>
              <w:spacing w:after="32" w:before="32"/>
            </w:pPr>
            <w:r>
              <w:rPr>
                <w:rFonts w:ascii="Arial" w:cs="Arial" w:eastAsia="Arial" w:hAnsi="Arial"/>
                <w:b w:val="false"/>
                <w:bCs w:val="false"/>
                <w:i w:val="false"/>
                <w:iCs w:val="false"/>
                <w:color w:val="1A1A1A"/>
                <w:sz w:val="19"/>
                <w:szCs w:val="19"/>
              </w:rPr>
              <w:t xml:space="preserve">acr_readings: []ACRReading{value_mg_mmol, collected_at, urine_collection: SPOT | 24H}</w:t>
            </w:r>
          </w:p>
          <w:p>
            <w:pPr>
              <w:spacing w:after="32" w:before="32"/>
            </w:pPr>
            <w:r>
              <w:rPr>
                <w:rFonts w:ascii="Arial" w:cs="Arial" w:eastAsia="Arial" w:hAnsi="Arial"/>
                <w:b w:val="false"/>
                <w:bCs w:val="false"/>
                <w:i w:val="false"/>
                <w:iCs w:val="false"/>
                <w:color w:val="1A1A1A"/>
                <w:sz w:val="19"/>
                <w:szCs w:val="19"/>
              </w:rPr>
              <w:t xml:space="preserve">acr_trend: ACRTrend — IMPROVING | STABLE | WORSENING</w:t>
            </w:r>
          </w:p>
          <w:p>
            <w:pPr>
              <w:spacing w:after="32" w:before="32"/>
            </w:pPr>
            <w:r>
              <w:rPr>
                <w:rFonts w:ascii="Arial" w:cs="Arial" w:eastAsia="Arial" w:hAnsi="Arial"/>
                <w:b w:val="false"/>
                <w:bCs w:val="false"/>
                <w:i w:val="false"/>
                <w:iCs w:val="false"/>
                <w:color w:val="1A1A1A"/>
                <w:sz w:val="19"/>
                <w:szCs w:val="19"/>
              </w:rPr>
              <w:t xml:space="preserve">acr_category: A1 | A2 | A3 (recalculated on each new reading)</w:t>
            </w:r>
          </w:p>
          <w:p>
            <w:pPr>
              <w:spacing w:after="32" w:before="32"/>
            </w:pPr>
            <w:r>
              <w:rPr>
                <w:rFonts w:ascii="Arial" w:cs="Arial" w:eastAsia="Arial" w:hAnsi="Arial"/>
                <w:b w:val="false"/>
                <w:bCs w:val="false"/>
                <w:i w:val="false"/>
                <w:iCs w:val="false"/>
                <w:color w:val="1A1A1A"/>
                <w:sz w:val="19"/>
                <w:szCs w:val="19"/>
              </w:rPr>
              <w:t xml:space="preserve">acr_on_raas: bool — whether ACEi or ARB is active (required for interpreting trend)</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Events emitted:</w:t>
            </w:r>
          </w:p>
          <w:p>
            <w:pPr>
              <w:spacing w:after="32" w:before="32"/>
            </w:pPr>
            <w:r>
              <w:rPr>
                <w:rFonts w:ascii="Arial" w:cs="Arial" w:eastAsia="Arial" w:hAnsi="Arial"/>
                <w:b w:val="false"/>
                <w:bCs w:val="false"/>
                <w:i w:val="false"/>
                <w:iCs w:val="false"/>
                <w:color w:val="1A1A1A"/>
                <w:sz w:val="19"/>
                <w:szCs w:val="19"/>
              </w:rPr>
              <w:t xml:space="preserve">ACR_WORSENING: acr_trend = WORSENING sustained over 2 consecutive readings → KB-23 MEDICATION_REVIEW with renal protection review</w:t>
            </w:r>
          </w:p>
          <w:p>
            <w:pPr>
              <w:spacing w:after="32" w:before="32"/>
            </w:pPr>
            <w:r>
              <w:rPr>
                <w:rFonts w:ascii="Arial" w:cs="Arial" w:eastAsia="Arial" w:hAnsi="Arial"/>
                <w:b w:val="false"/>
                <w:bCs w:val="false"/>
                <w:i w:val="false"/>
                <w:iCs w:val="false"/>
                <w:color w:val="1A1A1A"/>
                <w:sz w:val="19"/>
                <w:szCs w:val="19"/>
              </w:rPr>
              <w:t xml:space="preserve">ACR_TARGET_MET: ACR falls from A3 to A2 after RAAS intensification → affirmative KB-23 MILESTONE card showing treatment success</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DEPRESCRIBING_MODE gate: ACEi/ARB must never be deprescribed if acr_category = A2 or A3 regardless of BP control.</w:t>
            </w:r>
          </w:p>
          <w:p>
            <w:pPr>
              <w:spacing w:after="32" w:before="32"/>
            </w:pPr>
            <w:r>
              <w:rPr>
                <w:rFonts w:ascii="Arial" w:cs="Arial" w:eastAsia="Arial" w:hAnsi="Arial"/>
                <w:b w:val="false"/>
                <w:bCs w:val="false"/>
                <w:i w:val="false"/>
                <w:iCs w:val="false"/>
                <w:color w:val="1A1A1A"/>
                <w:sz w:val="19"/>
                <w:szCs w:val="19"/>
              </w:rPr>
              <w:t xml:space="preserve">This overrides the antihypertensive deprescribing hierarchy in the original proposal.</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9.3  RAAS Efficacy Marker Logic in KB-23</w:t>
      </w:r>
    </w:p>
    <w:p>
      <w:pPr>
        <w:spacing w:after="80" w:before="60"/>
      </w:pPr>
      <w:r>
        <w:rPr>
          <w:rFonts w:ascii="Arial" w:cs="Arial" w:eastAsia="Arial" w:hAnsi="Arial"/>
          <w:b w:val="false"/>
          <w:bCs w:val="false"/>
          <w:i w:val="false"/>
          <w:iCs w:val="false"/>
          <w:color w:val="1A1A1A"/>
          <w:sz w:val="20"/>
          <w:szCs w:val="20"/>
        </w:rPr>
        <w:t xml:space="preserve">ACR reduction is a treatment response marker — the system should close the loop by surfacing whether RAAS therapy is achieving its renal goals, separate from its BP goals.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Scenario</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KB-23 Response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ACEi/ARB active, BP at target, ACR still in A2 after 6 months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MEDICATION_REVIEW: BP controlled but proteinuria not reducing. Consider uptitrating RAAS to maximum tolerated dose. Consider finerenone (non-steroidal MRA) if eGFR &gt;25 and K+ &lt;5.0.</w:t>
            </w:r>
          </w:p>
        </w:tc>
      </w:tr>
      <w:tr>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ACEi/ARB active, BP at target, ACR improving from A3 to A2</w:t>
            </w:r>
          </w:p>
        </w:tc>
        <w:tc>
          <w:tcPr>
            <w:tcW w:type="dxa" w:w="61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MILESTONE card: 'RAAS therapy is reducing proteinuria. Renal protection on track. Continue current dose.'</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 at target but ACR worsening (A1→A2 or A2→A3)</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HYPERTENSION_REVIEW with RENAL_RISK flag: 'BP appears controlled but proteinuria is worsening. Re-evaluate BP target (may need lower). Consider specialist review. SGLT2i if not already prescribed.'</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Amendment 10 — Chronotherapy: Medication Timing Before Dose Escalation</w:t>
      </w:r>
    </w:p>
    <w:p>
      <w:pPr>
        <w:spacing w:after="80" w:before="60"/>
      </w:pPr>
      <w:r>
        <w:rPr>
          <w:rFonts w:ascii="Arial" w:cs="Arial" w:eastAsia="Arial" w:hAnsi="Arial"/>
          <w:b w:val="false"/>
          <w:bCs w:val="false"/>
          <w:i w:val="false"/>
          <w:iCs w:val="false"/>
          <w:color w:val="1A1A1A"/>
          <w:sz w:val="20"/>
          <w:szCs w:val="20"/>
        </w:rPr>
        <w:t xml:space="preserve">Chronotherapy refers to taking antihypertensive medication at bedtime rather than morning. The clinical rationale is strong for specific patient patterns and represents a zero-cost intervention that the system can suggest before escalating dose.</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10.1  Clinical Evidence and Applicability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00" w:sz="1"/>
              <w:left w:val="single" w:color="C05000" w:sz="16"/>
              <w:bottom w:val="single" w:color="C05000" w:sz="1"/>
              <w:right w:val="single" w:color="C05000" w:sz="1"/>
            </w:tcBorders>
            <w:shd w:fill="FFF8F0" w:val="clear"/>
            <w:tcMar>
              <w:top w:type="dxa" w:w="120"/>
              <w:left w:type="dxa" w:w="200"/>
              <w:bottom w:type="dxa" w:w="120"/>
              <w:right w:type="dxa" w:w="160"/>
            </w:tcMar>
          </w:tcPr>
          <w:p>
            <w:pPr>
              <w:spacing w:after="80" w:before="40"/>
            </w:pPr>
            <w:r>
              <w:rPr>
                <w:rFonts w:ascii="Arial" w:cs="Arial" w:eastAsia="Arial" w:hAnsi="Arial"/>
                <w:b/>
                <w:bCs/>
                <w:i w:val="false"/>
                <w:iCs w:val="false"/>
                <w:color w:val="C05000"/>
                <w:sz w:val="20"/>
                <w:szCs w:val="20"/>
              </w:rPr>
              <w:t xml:space="preserve">What the Evidence Shows</w:t>
            </w:r>
          </w:p>
          <w:p>
            <w:pPr>
              <w:spacing w:after="32" w:before="32"/>
            </w:pPr>
            <w:r>
              <w:rPr>
                <w:rFonts w:ascii="Arial" w:cs="Arial" w:eastAsia="Arial" w:hAnsi="Arial"/>
                <w:b w:val="false"/>
                <w:bCs w:val="false"/>
                <w:i w:val="false"/>
                <w:iCs w:val="false"/>
                <w:color w:val="1A1A1A"/>
                <w:sz w:val="19"/>
                <w:szCs w:val="19"/>
              </w:rPr>
              <w:t xml:space="preserve">The MAPEC trial (Hermida et al., 2010, n=2,156 patients): bedtime antihypertensive dosing reduced cardiovascular events by 61% vs morning dosing over 5.6 years. Effect was particularly large for patients with non-dipping nocturnal BP pattern.</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The Hygia Chronotherapy Trial (2019, n=19,084): confirmed cardiovascular benefit of bedtime dosing.</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Caution: The TIME study (2022, n=21,104): found no difference in outcomes between morning and evening dosing. This was a pragmatic primary care trial. The discrepancy with MAPEC/Hygia may relate to patient selection — the benefit appears greatest in non-dippers and morning-surge patients.</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Architectural implication: Chronotherapy is not a universal recommendation. It should be specifically suggested when KB-20 bp_pattern = MORNING_SURGE or NOCTURNAL_NONDIP AND current dosing is morning-only.</w:t>
            </w:r>
          </w:p>
        </w:tc>
      </w:tr>
    </w:tbl>
    <w:p>
      <w:pPr>
        <w:spacing w:after="0" w:before="160"/>
      </w:pPr>
    </w:p>
    <w:p>
      <w:pPr>
        <w:pStyle w:val="Heading2"/>
        <w:spacing w:after="100" w:before="240"/>
      </w:pPr>
      <w:r>
        <w:rPr>
          <w:rFonts w:ascii="Arial" w:cs="Arial" w:eastAsia="Arial" w:hAnsi="Arial"/>
          <w:b/>
          <w:bCs/>
          <w:i w:val="false"/>
          <w:iCs w:val="false"/>
          <w:color w:val="2E75B6"/>
          <w:sz w:val="26"/>
          <w:szCs w:val="26"/>
        </w:rPr>
        <w:t xml:space="preserve">10.2  MedicationFact Timing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New MedicationFact Field: dose_timing</w:t>
            </w:r>
          </w:p>
          <w:p>
            <w:pPr>
              <w:spacing w:after="32" w:before="32"/>
            </w:pPr>
            <w:r>
              <w:rPr>
                <w:rFonts w:ascii="Arial" w:cs="Arial" w:eastAsia="Arial" w:hAnsi="Arial"/>
                <w:b w:val="false"/>
                <w:bCs w:val="false"/>
                <w:i w:val="false"/>
                <w:iCs w:val="false"/>
                <w:color w:val="1A1A1A"/>
                <w:sz w:val="19"/>
                <w:szCs w:val="19"/>
              </w:rPr>
              <w:t xml:space="preserve">dose_timing: MORNING | EVENING | BEDTIME | TWICE_DAILY | WITH_MEALS | UNKNOWN</w:t>
            </w:r>
          </w:p>
          <w:p>
            <w:pPr>
              <w:spacing w:after="32" w:before="32"/>
            </w:pPr>
            <w:r>
              <w:rPr>
                <w:rFonts w:ascii="Arial" w:cs="Arial" w:eastAsia="Arial" w:hAnsi="Arial"/>
                <w:b w:val="false"/>
                <w:bCs w:val="false"/>
                <w:i w:val="false"/>
                <w:iCs w:val="false"/>
                <w:color w:val="1A1A1A"/>
                <w:sz w:val="19"/>
                <w:szCs w:val="19"/>
              </w:rPr>
              <w:t xml:space="preserve">Captured from Tier-1: 'When do you take your blood pressure tablet — morning or evening?'</w:t>
            </w:r>
          </w:p>
          <w:p>
            <w:pPr>
              <w:spacing w:after="32" w:before="32"/>
            </w:pPr>
            <w:r>
              <w:rPr>
                <w:rFonts w:ascii="Arial" w:cs="Arial" w:eastAsia="Arial" w:hAnsi="Arial"/>
                <w:b w:val="false"/>
                <w:bCs w:val="false"/>
                <w:i w:val="false"/>
                <w:iCs w:val="false"/>
                <w:color w:val="1A1A1A"/>
                <w:sz w:val="19"/>
                <w:szCs w:val="19"/>
              </w:rPr>
              <w:t xml:space="preserve">Impacts KB-23 HYPERTENSION_REVIEW card logic:</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If bp_pattern = MORNING_SURGE AND dose_timing = MORNING:</w:t>
            </w:r>
          </w:p>
          <w:p>
            <w:pPr>
              <w:spacing w:after="32" w:before="32"/>
            </w:pPr>
            <w:r>
              <w:rPr>
                <w:rFonts w:ascii="Arial" w:cs="Arial" w:eastAsia="Arial" w:hAnsi="Arial"/>
                <w:b w:val="false"/>
                <w:bCs w:val="false"/>
                <w:i w:val="false"/>
                <w:iCs w:val="false"/>
                <w:color w:val="1A1A1A"/>
                <w:sz w:val="19"/>
                <w:szCs w:val="19"/>
              </w:rPr>
              <w:t xml:space="preserve">  Before recommending dose increase → suggest: 'Consider switching [drug] to bedtime dosing to improve morning surge control. This is a non-dose intervention with evidence of cardiovascular benefit in morning-surge hypertension. Re-assess BP after 4 weeks.'</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This recommendation is offered BEFORE dose escalation, not instead of it. If BP remains above target after 4-week timing trial → proceed with dose increase.</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Amendment 11 — Hyponatraemia Risk from Thiazides</w:t>
      </w:r>
    </w:p>
    <w:p>
      <w:pPr>
        <w:spacing w:after="80" w:before="60"/>
      </w:pPr>
      <w:r>
        <w:rPr>
          <w:rFonts w:ascii="Arial" w:cs="Arial" w:eastAsia="Arial" w:hAnsi="Arial"/>
          <w:b w:val="false"/>
          <w:bCs w:val="false"/>
          <w:i w:val="false"/>
          <w:iCs w:val="false"/>
          <w:color w:val="1A1A1A"/>
          <w:sz w:val="20"/>
          <w:szCs w:val="20"/>
        </w:rPr>
        <w:t xml:space="preserve">Thiazide and thiazide-like diuretics (indapamide, hydrochlorothiazide) cause hyponatraemia as a class effect. It is the most common drug-induced electrolyte disturbance in elderly patients and is disproportionately dangerous in the Indian subcontinent during summer months (combined effect of heat, dehydration, and diuretic-induced sodium loss).</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11.1  Channel B Sodium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43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Rule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Condition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Gate</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Basis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B-17</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Na+ &lt; 132 mmol/L AND thiazide_active = true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HALT</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Severe hyponatraemia — risk of cerebral oedema, confusion, seizure. Thiazide must be stopped immediately. V-MCU also halts — haemodynamic instability from Na derangement makes glucose titration unsafe.</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B-18</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Na+ 132-135 mmol/L AND thiazide_active = true</w:t>
            </w:r>
          </w:p>
        </w:tc>
        <w:tc>
          <w:tcPr>
            <w:tcW w:type="dxa" w:w="1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43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Mild-moderate hyponatraemia. Monitor. KB-23 card: consider reducing thiazide dose, increase fluid intake, recheck sodium in 5 days.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B-19</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Na+ &lt; 135 mmol/L AND season = SUMMER AND thiazide_active = true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PAUSE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Seasonal hyponatraemia risk amplification. Lower threshold for action during summer months — SGLT2i osmotic diuresis compounds thiazide effect. Combined dehydration risk is higher.</w:t>
            </w:r>
          </w:p>
        </w:tc>
      </w:tr>
    </w:tbl>
    <w:p>
      <w:pPr>
        <w:spacing w:after="0" w:before="80"/>
      </w:pPr>
    </w:p>
    <w:p>
      <w:pPr>
        <w:spacing w:after="80" w:before="60"/>
      </w:pPr>
      <w:r>
        <w:rPr>
          <w:rFonts w:ascii="Arial" w:cs="Arial" w:eastAsia="Arial" w:hAnsi="Arial"/>
          <w:b w:val="false"/>
          <w:bCs w:val="false"/>
          <w:i w:val="false"/>
          <w:iCs w:val="false"/>
          <w:color w:val="1A1A1A"/>
          <w:sz w:val="20"/>
          <w:szCs w:val="20"/>
        </w:rPr>
        <w:t xml:space="preserve">Sodium requires a new LabFact LOINC code (2951-2) in the FactStore projection. Na+ is not currently tracked in KB-20's LabEntry. Add to LabEntry processing pipeline alongside K+ and creatinine.</w:t>
      </w:r>
    </w:p>
    <w:p>
      <w:pPr>
        <w:spacing w:after="0" w:before="160"/>
      </w:pPr>
    </w:p>
    <w:p>
      <w:pPr>
        <w:pStyle w:val="Heading2"/>
        <w:spacing w:after="100" w:before="240"/>
      </w:pPr>
      <w:r>
        <w:rPr>
          <w:rFonts w:ascii="Arial" w:cs="Arial" w:eastAsia="Arial" w:hAnsi="Arial"/>
          <w:b/>
          <w:bCs/>
          <w:i w:val="false"/>
          <w:iCs w:val="false"/>
          <w:color w:val="2E75B6"/>
          <w:sz w:val="26"/>
          <w:szCs w:val="26"/>
        </w:rPr>
        <w:t xml:space="preserve">11.2  Seasonal Context in the FactStore</w:t>
      </w:r>
    </w:p>
    <w:p>
      <w:pPr>
        <w:spacing w:after="80" w:before="60"/>
      </w:pPr>
      <w:r>
        <w:rPr>
          <w:rFonts w:ascii="Arial" w:cs="Arial" w:eastAsia="Arial" w:hAnsi="Arial"/>
          <w:b w:val="false"/>
          <w:bCs w:val="false"/>
          <w:i w:val="false"/>
          <w:iCs w:val="false"/>
          <w:color w:val="1A1A1A"/>
          <w:sz w:val="20"/>
          <w:szCs w:val="20"/>
        </w:rPr>
        <w:t xml:space="preserve">B-19 introduces the concept of seasonal context — the system adjusting thresholds based on time of year. This is particularly relevant to the Indian population where summer temperatures in Tier 2/3 cities (Ranchi, Nagpur, Jhansi) routinely exceed 42°C, causing significant dehydration on top of SGLT2i and diuretic effects.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6"/>
              <w:bottom w:val="single" w:color="BF8F00" w:sz="1"/>
              <w:right w:val="single" w:color="BF8F00" w:sz="1"/>
            </w:tcBorders>
            <w:shd w:fill="FFF2CC" w:val="clear"/>
            <w:tcMar>
              <w:top w:type="dxa" w:w="120"/>
              <w:left w:type="dxa" w:w="200"/>
              <w:bottom w:type="dxa" w:w="120"/>
              <w:right w:type="dxa" w:w="160"/>
            </w:tcMar>
          </w:tcPr>
          <w:p>
            <w:pPr>
              <w:spacing w:after="80" w:before="40"/>
            </w:pPr>
            <w:r>
              <w:rPr>
                <w:rFonts w:ascii="Arial" w:cs="Arial" w:eastAsia="Arial" w:hAnsi="Arial"/>
                <w:b/>
                <w:bCs/>
                <w:i w:val="false"/>
                <w:iCs w:val="false"/>
                <w:color w:val="BF8F00"/>
                <w:sz w:val="20"/>
                <w:szCs w:val="20"/>
              </w:rPr>
              <w:t xml:space="preserve">Seasonal Context Implementation</w:t>
            </w:r>
          </w:p>
          <w:p>
            <w:pPr>
              <w:spacing w:after="32" w:before="32"/>
            </w:pPr>
            <w:r>
              <w:rPr>
                <w:rFonts w:ascii="Arial" w:cs="Arial" w:eastAsia="Arial" w:hAnsi="Arial"/>
                <w:b w:val="false"/>
                <w:bCs w:val="false"/>
                <w:i w:val="false"/>
                <w:iCs w:val="false"/>
                <w:color w:val="1A1A1A"/>
                <w:sz w:val="19"/>
                <w:szCs w:val="19"/>
              </w:rPr>
              <w:t xml:space="preserve">Add season: SUMMER | MONSOON | WINTER | AUTUMN enum to VitalFact and as a global context field in the FactStore.</w:t>
            </w:r>
          </w:p>
          <w:p>
            <w:pPr>
              <w:spacing w:after="32" w:before="32"/>
            </w:pPr>
            <w:r>
              <w:rPr>
                <w:rFonts w:ascii="Arial" w:cs="Arial" w:eastAsia="Arial" w:hAnsi="Arial"/>
                <w:b w:val="false"/>
                <w:bCs w:val="false"/>
                <w:i w:val="false"/>
                <w:iCs w:val="false"/>
                <w:color w:val="1A1A1A"/>
                <w:sz w:val="19"/>
                <w:szCs w:val="19"/>
              </w:rPr>
              <w:t xml:space="preserve">Derive from system date + patient location (from KB-20 demographic data): India May-June = PEAK_SUMMER, July-September = MONSOON (dehydration risk decreases).</w:t>
            </w:r>
          </w:p>
          <w:p>
            <w:pPr>
              <w:spacing w:after="32" w:before="32"/>
            </w:pPr>
            <w:r>
              <w:rPr>
                <w:rFonts w:ascii="Arial" w:cs="Arial" w:eastAsia="Arial" w:hAnsi="Arial"/>
                <w:b w:val="false"/>
                <w:bCs w:val="false"/>
                <w:i w:val="false"/>
                <w:iCs w:val="false"/>
                <w:color w:val="1A1A1A"/>
                <w:sz w:val="19"/>
                <w:szCs w:val="19"/>
              </w:rPr>
              <w:t xml:space="preserve">Channel B rules that include season context use this field. Orchestrator sets it in RawInputs.</w:t>
            </w:r>
          </w:p>
          <w:p>
            <w:pPr>
              <w:spacing w:after="32" w:before="32"/>
            </w:pPr>
            <w:r>
              <w:rPr>
                <w:rFonts w:ascii="Arial" w:cs="Arial" w:eastAsia="Arial" w:hAnsi="Arial"/>
                <w:b w:val="false"/>
                <w:bCs w:val="false"/>
                <w:i w:val="false"/>
                <w:iCs w:val="false"/>
                <w:color w:val="1A1A1A"/>
                <w:sz w:val="19"/>
                <w:szCs w:val="19"/>
              </w:rPr>
              <w:t xml:space="preserve">Clinical team must confirm threshold adjustments for each season and Indian climate zone.</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Amendment 12 — Salt Sensitivity Signal in KB-21</w:t>
      </w:r>
    </w:p>
    <w:p>
      <w:pPr>
        <w:spacing w:after="80" w:before="60"/>
      </w:pPr>
      <w:r>
        <w:rPr>
          <w:rFonts w:ascii="Arial" w:cs="Arial" w:eastAsia="Arial" w:hAnsi="Arial"/>
          <w:b w:val="false"/>
          <w:bCs w:val="false"/>
          <w:i w:val="false"/>
          <w:iCs w:val="false"/>
          <w:color w:val="1A1A1A"/>
          <w:sz w:val="20"/>
          <w:szCs w:val="20"/>
        </w:rPr>
        <w:t xml:space="preserve">Salt sensitivity describes the subset of hypertensive patients whose BP rises substantially with high sodium intake (&gt;10 mmHg SBP response to a sodium load challenge). Prevalence in South Asian populations is substantially higher than European populations — estimated at 50-60% vs 25-30% in the general hypertensive population. In DM+CKD, salt sensitivity is nearly universal due to impaired renal sodium handling.</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12.1  Why Salt Sensitivity Matters Architecturally</w:t>
      </w:r>
    </w:p>
    <w:p>
      <w:pPr>
        <w:spacing w:after="80" w:before="60"/>
      </w:pPr>
      <w:r>
        <w:rPr>
          <w:rFonts w:ascii="Arial" w:cs="Arial" w:eastAsia="Arial" w:hAnsi="Arial"/>
          <w:b w:val="false"/>
          <w:bCs w:val="false"/>
          <w:i w:val="false"/>
          <w:iCs w:val="false"/>
          <w:color w:val="1A1A1A"/>
          <w:sz w:val="20"/>
          <w:szCs w:val="20"/>
        </w:rPr>
        <w:t xml:space="preserve">In salt-sensitive patients, dietary sodium restriction alone can reduce SBP by 8-15 mmHg — equivalent to adding a second antihypertensive drug. A system that generates a dose escalation recommendation without checking salt intake is potentially recommending a medication addition that a lifestyle change could replace. This is both clinically suboptimal and directly contrary to the 'reduce medicines' goal.</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12.2  KB-21 Behavioural Salt Intake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6"/>
              <w:bottom w:val="single" w:color="2E75B6" w:sz="1"/>
              <w:right w:val="single" w:color="2E75B6" w:sz="1"/>
            </w:tcBorders>
            <w:shd w:fill="EAF0FB" w:val="clear"/>
            <w:tcMar>
              <w:top w:type="dxa" w:w="120"/>
              <w:left w:type="dxa" w:w="200"/>
              <w:bottom w:type="dxa" w:w="120"/>
              <w:right w:type="dxa" w:w="160"/>
            </w:tcMar>
          </w:tcPr>
          <w:p>
            <w:pPr>
              <w:spacing w:after="80" w:before="40"/>
            </w:pPr>
            <w:r>
              <w:rPr>
                <w:rFonts w:ascii="Arial" w:cs="Arial" w:eastAsia="Arial" w:hAnsi="Arial"/>
                <w:b/>
                <w:bCs/>
                <w:i w:val="false"/>
                <w:iCs w:val="false"/>
                <w:color w:val="2E75B6"/>
                <w:sz w:val="20"/>
                <w:szCs w:val="20"/>
              </w:rPr>
              <w:t xml:space="preserve">New KB-21 Track: dietary_sodium_estimate</w:t>
            </w:r>
          </w:p>
          <w:p>
            <w:pPr>
              <w:spacing w:after="32" w:before="32"/>
            </w:pPr>
            <w:r>
              <w:rPr>
                <w:rFonts w:ascii="Arial" w:cs="Arial" w:eastAsia="Arial" w:hAnsi="Arial"/>
                <w:b w:val="false"/>
                <w:bCs w:val="false"/>
                <w:i w:val="false"/>
                <w:iCs w:val="false"/>
                <w:color w:val="1A1A1A"/>
                <w:sz w:val="19"/>
                <w:szCs w:val="19"/>
              </w:rPr>
              <w:t xml:space="preserve">Assessed via Tier-1 structured questions (validated DASH diet approximation):</w:t>
            </w:r>
          </w:p>
          <w:p>
            <w:pPr>
              <w:spacing w:after="32" w:before="32"/>
            </w:pPr>
            <w:r>
              <w:rPr>
                <w:rFonts w:ascii="Arial" w:cs="Arial" w:eastAsia="Arial" w:hAnsi="Arial"/>
                <w:b w:val="false"/>
                <w:bCs w:val="false"/>
                <w:i w:val="false"/>
                <w:iCs w:val="false"/>
                <w:color w:val="1A1A1A"/>
                <w:sz w:val="19"/>
                <w:szCs w:val="19"/>
              </w:rPr>
              <w:t xml:space="preserve">  'How many times per week do you eat pickles, papads, or salty snacks?' (high discriminating value in Indian diet)</w:t>
            </w:r>
          </w:p>
          <w:p>
            <w:pPr>
              <w:spacing w:after="32" w:before="32"/>
            </w:pPr>
            <w:r>
              <w:rPr>
                <w:rFonts w:ascii="Arial" w:cs="Arial" w:eastAsia="Arial" w:hAnsi="Arial"/>
                <w:b w:val="false"/>
                <w:bCs w:val="false"/>
                <w:i w:val="false"/>
                <w:iCs w:val="false"/>
                <w:color w:val="1A1A1A"/>
                <w:sz w:val="19"/>
                <w:szCs w:val="19"/>
              </w:rPr>
              <w:t xml:space="preserve">  'Do you add salt to food after cooking?'</w:t>
            </w:r>
          </w:p>
          <w:p>
            <w:pPr>
              <w:spacing w:after="32" w:before="32"/>
            </w:pPr>
            <w:r>
              <w:rPr>
                <w:rFonts w:ascii="Arial" w:cs="Arial" w:eastAsia="Arial" w:hAnsi="Arial"/>
                <w:b w:val="false"/>
                <w:bCs w:val="false"/>
                <w:i w:val="false"/>
                <w:iCs w:val="false"/>
                <w:color w:val="1A1A1A"/>
                <w:sz w:val="19"/>
                <w:szCs w:val="19"/>
              </w:rPr>
              <w:t xml:space="preserve">  'How often do you eat processed foods, namkeen, or restaurant food?'</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Output: dietary_sodium_estimate: LOW (&lt;1500 mg/day) | MODERATE (1500-2300) | HIGH (&gt;2300 mg/day)</w:t>
            </w:r>
          </w:p>
          <w:p>
            <w:pPr>
              <w:spacing w:after="32" w:before="32"/>
            </w:pPr>
            <w:r>
              <w:rPr>
                <w:rFonts w:ascii="Arial" w:cs="Arial" w:eastAsia="Arial" w:hAnsi="Arial"/>
                <w:b w:val="false"/>
                <w:bCs w:val="false"/>
                <w:i w:val="false"/>
                <w:iCs w:val="false"/>
                <w:color w:val="1A1A1A"/>
                <w:sz w:val="19"/>
                <w:szCs w:val="19"/>
              </w:rPr>
              <w:t xml:space="preserve">         salt_reduction_potential: HIGH | MODERATE | LOW | ALREADY_RESTRICTED</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KB-23 integration: If bp_status = ABOVE_TARGET AND dietary_sodium_estimate = HIGH AND salt_reduction_potential = HIGH:</w:t>
            </w:r>
          </w:p>
          <w:p>
            <w:pPr>
              <w:spacing w:after="32" w:before="32"/>
            </w:pPr>
            <w:r>
              <w:rPr>
                <w:rFonts w:ascii="Arial" w:cs="Arial" w:eastAsia="Arial" w:hAnsi="Arial"/>
                <w:b w:val="false"/>
                <w:bCs w:val="false"/>
                <w:i w:val="false"/>
                <w:iCs w:val="false"/>
                <w:color w:val="1A1A1A"/>
                <w:sz w:val="19"/>
                <w:szCs w:val="19"/>
              </w:rPr>
              <w:t xml:space="preserve">  HYPERTENSION_REVIEW card leads with lifestyle section: 'High salt intake detected. Sodium restriction to &lt;2g/day may reduce SBP by 8-10 mmHg in this patient. Trial dietary intervention for 6 weeks before dose escalation.'</w:t>
            </w:r>
          </w:p>
          <w:p>
            <w:pPr>
              <w:spacing w:after="32" w:before="32"/>
            </w:pPr>
            <w:r>
              <w:rPr>
                <w:rFonts w:ascii="Arial" w:cs="Arial" w:eastAsia="Arial" w:hAnsi="Arial"/>
                <w:b w:val="false"/>
                <w:bCs w:val="false"/>
                <w:i w:val="false"/>
                <w:iCs w:val="false"/>
                <w:color w:val="1A1A1A"/>
                <w:sz w:val="19"/>
                <w:szCs w:val="19"/>
              </w:rPr>
              <w:t xml:space="preserve">  This is not a delay tactic — it is evidence-based sequencing. Lifestyle first, medication second when lifestyle fails.</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Amendment 13 — Pulse Pressure as Arterial Stiffness Marker</w:t>
      </w:r>
    </w:p>
    <w:p>
      <w:pPr>
        <w:spacing w:after="80" w:before="60"/>
      </w:pPr>
      <w:r>
        <w:rPr>
          <w:rFonts w:ascii="Arial" w:cs="Arial" w:eastAsia="Arial" w:hAnsi="Arial"/>
          <w:b w:val="false"/>
          <w:bCs w:val="false"/>
          <w:i w:val="false"/>
          <w:iCs w:val="false"/>
          <w:color w:val="1A1A1A"/>
          <w:sz w:val="20"/>
          <w:szCs w:val="20"/>
        </w:rPr>
        <w:t xml:space="preserve">Pulse pressure (SBP minus DBP) is a simple derived metric that carries independent prognostic value in DM+CKD patients. Wide pulse pressure (&gt;60 mmHg) in older DM patients reflects aortic stiffness — a consequence of both age-related arteriosclerosis and advanced glycation end-product (AGE) accumulation in arterial walls from chronic hyperglycaemia. It predicts cardiovascular events and CKD progression independently of SBP or DBP.</w:t>
      </w:r>
    </w:p>
    <w:p>
      <w:pPr>
        <w:spacing w:after="0" w:before="80"/>
      </w:pPr>
    </w:p>
    <w:p>
      <w:pPr>
        <w:pStyle w:val="Heading2"/>
        <w:spacing w:after="100" w:before="240"/>
      </w:pPr>
      <w:r>
        <w:rPr>
          <w:rFonts w:ascii="Arial" w:cs="Arial" w:eastAsia="Arial" w:hAnsi="Arial"/>
          <w:b/>
          <w:bCs/>
          <w:i w:val="false"/>
          <w:iCs w:val="false"/>
          <w:color w:val="2E75B6"/>
          <w:sz w:val="26"/>
          <w:szCs w:val="26"/>
        </w:rPr>
        <w:t xml:space="preserve">13.1  KB-20 Pulse Pressure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New BPTrajectory Field</w:t>
            </w:r>
          </w:p>
        </w:tc>
        <w:tc>
          <w:tcPr>
            <w:tcW w:type="dxa" w:w="7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Clinical Significance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pulse_pressure_mean: float64 — mean of (SBP - DBP) over last 5 readings</w:t>
            </w:r>
          </w:p>
        </w:tc>
        <w:tc>
          <w:tcPr>
            <w:tcW w:type="dxa" w:w="7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Normal: 40-50 mmHg. Elevated: &gt;60 mmHg. Very elevated: &gt;80 mmHg (predicts cardiovascular event with similar hazard ratio as SBP in elderly DM).</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pulse_pressure_trend: WIDENING | STABLE | NARROWING</w:t>
            </w:r>
          </w:p>
        </w:tc>
        <w:tc>
          <w:tcPr>
            <w:tcW w:type="dxa" w:w="79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Widening pulse pressure in a patient whose SBP is well-controlled indicates progressive arterial stiffness — glycaemic control and age-related, not addressable by antihypertensive dose changes.</w:t>
            </w:r>
          </w:p>
        </w:tc>
      </w:tr>
    </w:tbl>
    <w:p>
      <w:pPr>
        <w:spacing w:after="0" w:before="160"/>
      </w:pPr>
    </w:p>
    <w:p>
      <w:pPr>
        <w:spacing w:after="80" w:before="60"/>
      </w:pPr>
      <w:r>
        <w:rPr>
          <w:rFonts w:ascii="Arial" w:cs="Arial" w:eastAsia="Arial" w:hAnsi="Arial"/>
          <w:b w:val="false"/>
          <w:bCs w:val="false"/>
          <w:i w:val="false"/>
          <w:iCs w:val="false"/>
          <w:color w:val="1A1A1A"/>
          <w:sz w:val="20"/>
          <w:szCs w:val="20"/>
        </w:rPr>
        <w:t xml:space="preserve">Architectural note: Wide pulse pressure changes the therapeutic goal. If SBP is above target due to isolated systolic hypertension (high SBP, normal or low DBP, wide pulse pressure), aggressive further BP lowering risks reducing DBP below the J-curve threshold (Amendment 8) while still not fully controlling SBP. This is a physician communication item — KB-23 should note it in the HYPERTENSION_REVIEW card reasoning trace.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Pulse Pressure Pattern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Likely Clinical Mechanism</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KB-23 Card Note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PP normal (40-50), SBP above target</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Standard hypertension — under-treated</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Standard escalation pathway</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PP wide (&gt;60), SBP above target, DBP normal</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Isolated systolic hypertension — arterial stiffness</w:t>
            </w:r>
          </w:p>
        </w:tc>
        <w:tc>
          <w:tcPr>
            <w:tcW w:type="dxa" w:w="3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Flag: further lowering may reduce DBP below safe threshold. Glycaemic optimisation for AGE reduction is a parallel goal.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PP narrow (&lt;35), SBP at target</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Good BP control with appropriate antihypertensive effect</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No action. Note in Patient State snapshot.</w:t>
            </w:r>
          </w:p>
        </w:tc>
      </w:tr>
      <w:tr>
        <w:tc>
          <w:tcPr>
            <w:tcW w:type="dxa" w:w="24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PP widening over time despite controlled SBP</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Progressive arterial stiffness — glycaemic harm</w:t>
            </w:r>
          </w:p>
        </w:tc>
        <w:tc>
          <w:tcPr>
            <w:tcW w:type="dxa" w:w="37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Flag for physician. Intensified HbA1c target if currently ≥8%. This is a glycaemic control signal, not a BP signal.</w:t>
            </w:r>
          </w:p>
        </w:tc>
      </w:tr>
    </w:tbl>
    <w:p>
      <w:pPr>
        <w:spacing w:after="0" w:before="160"/>
      </w:pPr>
    </w:p>
    <w:p>
      <w:pPr>
        <w:pBdr>
          <w:bottom w:val="single" w:color="2E75B6" w:sz="6"/>
        </w:pBdr>
        <w:spacing w:after="160" w:before="160"/>
      </w:pPr>
    </w:p>
    <w:p>
      <w:pPr>
        <w:pStyle w:val="Heading1"/>
        <w:spacing w:after="100" w:before="300"/>
      </w:pPr>
      <w:r>
        <w:rPr>
          <w:rFonts w:ascii="Arial" w:cs="Arial" w:eastAsia="Arial" w:hAnsi="Arial"/>
          <w:b/>
          <w:bCs/>
          <w:i w:val="false"/>
          <w:iCs w:val="false"/>
          <w:color w:val="1F4E79"/>
          <w:sz w:val="34"/>
          <w:szCs w:val="34"/>
        </w:rPr>
        <w:t xml:space="preserve">Summary: Complete Amendment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35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Amendment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Component</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Priority</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RAAS creatinine tolerance rule (≤30% rise = expected)</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C PG-14 + V-MCU orchestrator</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P0 — prevents false AKI HALT on every ACEi/ARB increase</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2</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Antihypertensive TreatmentPerturbation windows (SGLT2i BP, ACEi creatinine, beta-blocker HR)</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PerturbationService + KB-23 + KB-22</w:t>
            </w:r>
          </w:p>
        </w:tc>
        <w:tc>
          <w:tcPr>
            <w:tcW w:type="dxa" w:w="3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prevents cascade misinterpretation from drug changes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3</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Heart rate: VitalFact fields + Channel B rules B-13 through B-16</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VitalFact + Channel B + KB-22 AF trigger</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beta-blocker bradycardia + AF detection gap</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4</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Antihypertensive adherence track in KB-21 + HYPERTENSION_REVIEW gate</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 KB-23 card logic</w:t>
            </w:r>
          </w:p>
        </w:tc>
        <w:tc>
          <w:tcPr>
            <w:tcW w:type="dxa" w:w="3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prevents dose escalation in adherence-failure cases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5</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ACEi cough detection + ARB switch logic</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KB-22 symptom node + Channel C PG-15 + KB-23</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high-prevalence cause of antihypertensive failure in Indian patients</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6</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Resistant hypertension classification + secondary cause KB-22 nodes</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 KB-22 + KB-23</w:t>
            </w:r>
          </w:p>
        </w:tc>
        <w:tc>
          <w:tcPr>
            <w:tcW w:type="dxa" w:w="3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prevents indefinite primary-care escalation loop</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7</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BP variability (visit-to-visit SD) as stroke risk marker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BPTrajectory + KB-23 card note</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P2 — independent risk predictor missing from all prior specs</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8</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J-curve: eGFR-stratified lower BP limit in Channel B</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B + V-MCU orchestrator RawInputs</w:t>
            </w:r>
          </w:p>
        </w:tc>
        <w:tc>
          <w:tcPr>
            <w:tcW w:type="dxa" w:w="3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P0 — prevents renal perfusion harm in CKD Stage 3-4 patients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9</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ACR longitudinal tracking + RAAS efficacy marker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LabEntry + KB-23 card logic</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proteinuria is the most important RAAS treatment response signal</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10</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Chronotherapy: dose timing before dose escalation</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MedicationFact + KB-23 HYPERTENSION_REVIEW</w:t>
            </w:r>
          </w:p>
        </w:tc>
        <w:tc>
          <w:tcPr>
            <w:tcW w:type="dxa" w:w="3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P2 — zero-cost intervention to try before medication escalation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11</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Hyponatraemia: Channel B Na rules + seasonal context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Channel B B-17 to B-19 + FactStore seasonal field</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P1 — Indian summer + thiazide + SGLT2i combination risk</w:t>
            </w:r>
          </w:p>
        </w:tc>
      </w:tr>
      <w:tr>
        <w:tc>
          <w:tcPr>
            <w:tcW w:type="dxa" w:w="6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12</w:t>
            </w:r>
          </w:p>
        </w:tc>
        <w:tc>
          <w:tcPr>
            <w:tcW w:type="dxa" w:w="32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Salt sensitivity signal in KB-21 + dietary intervention sequencing</w:t>
            </w:r>
          </w:p>
        </w:tc>
        <w:tc>
          <w:tcPr>
            <w:tcW w:type="dxa" w:w="200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KB-21 + KB-23 card sequencing logic</w:t>
            </w:r>
          </w:p>
        </w:tc>
        <w:tc>
          <w:tcPr>
            <w:tcW w:type="dxa" w:w="3560"/>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P2 — lifestyle-first sequencing before antihypertensive escalation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13</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Pulse pressure as arterial stiffness marker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KB-20 BPTrajectory + KB-23 card note</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P2 — AGE-driven arterial stiffness links glycaemic to BP axis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6"/>
              <w:bottom w:val="single" w:color="375623" w:sz="1"/>
              <w:right w:val="single" w:color="375623" w:sz="1"/>
            </w:tcBorders>
            <w:shd w:fill="E2EFDA" w:val="clear"/>
            <w:tcMar>
              <w:top w:type="dxa" w:w="120"/>
              <w:left w:type="dxa" w:w="200"/>
              <w:bottom w:type="dxa" w:w="120"/>
              <w:right w:type="dxa" w:w="160"/>
            </w:tcMar>
          </w:tcPr>
          <w:p>
            <w:pPr>
              <w:spacing w:after="80" w:before="40"/>
            </w:pPr>
            <w:r>
              <w:rPr>
                <w:rFonts w:ascii="Arial" w:cs="Arial" w:eastAsia="Arial" w:hAnsi="Arial"/>
                <w:b/>
                <w:bCs/>
                <w:i w:val="false"/>
                <w:iCs w:val="false"/>
                <w:color w:val="375623"/>
                <w:sz w:val="20"/>
                <w:szCs w:val="20"/>
              </w:rPr>
              <w:t xml:space="preserve">What Vaidshala Becomes After These Amendments</w:t>
            </w:r>
          </w:p>
          <w:p>
            <w:pPr>
              <w:spacing w:after="32" w:before="32"/>
            </w:pPr>
            <w:r>
              <w:rPr>
                <w:rFonts w:ascii="Arial" w:cs="Arial" w:eastAsia="Arial" w:hAnsi="Arial"/>
                <w:b w:val="false"/>
                <w:bCs w:val="false"/>
                <w:i w:val="false"/>
                <w:iCs w:val="false"/>
                <w:color w:val="1A1A1A"/>
                <w:sz w:val="19"/>
                <w:szCs w:val="19"/>
              </w:rPr>
              <w:t xml:space="preserve">The combination of the original HTN proposal + these 13 amendments produces an architecture that handles:</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Signal integrity:  BP measurement trust hierarchy, white coat vs masked HTN, visit variability, pulse pressure</w:t>
            </w:r>
          </w:p>
          <w:p>
            <w:pPr>
              <w:spacing w:after="32" w:before="32"/>
            </w:pPr>
            <w:r>
              <w:rPr>
                <w:rFonts w:ascii="Arial" w:cs="Arial" w:eastAsia="Arial" w:hAnsi="Arial"/>
                <w:b w:val="false"/>
                <w:bCs w:val="false"/>
                <w:i w:val="false"/>
                <w:iCs w:val="false"/>
                <w:color w:val="1A1A1A"/>
                <w:sz w:val="19"/>
                <w:szCs w:val="19"/>
              </w:rPr>
              <w:t xml:space="preserve">Drug safety:       Beta-blocker hypoglycaemia masking, dual RAAS contraindication, ACEi cough, thiazide hyponatraemia, thiazide hypokalaemia, J-curve in CKD</w:t>
            </w:r>
          </w:p>
          <w:p>
            <w:pPr>
              <w:spacing w:after="32" w:before="32"/>
            </w:pPr>
            <w:r>
              <w:rPr>
                <w:rFonts w:ascii="Arial" w:cs="Arial" w:eastAsia="Arial" w:hAnsi="Arial"/>
                <w:b w:val="false"/>
                <w:bCs w:val="false"/>
                <w:i w:val="false"/>
                <w:iCs w:val="false"/>
                <w:color w:val="1A1A1A"/>
                <w:sz w:val="19"/>
                <w:szCs w:val="19"/>
              </w:rPr>
              <w:t xml:space="preserve">Drug interactions: SGLT2i dual-action, ACEi creatinine tolerance, antihypertensive perturbation windows</w:t>
            </w:r>
          </w:p>
          <w:p>
            <w:pPr>
              <w:spacing w:after="32" w:before="32"/>
            </w:pPr>
            <w:r>
              <w:rPr>
                <w:rFonts w:ascii="Arial" w:cs="Arial" w:eastAsia="Arial" w:hAnsi="Arial"/>
                <w:b w:val="false"/>
                <w:bCs w:val="false"/>
                <w:i w:val="false"/>
                <w:iCs w:val="false"/>
                <w:color w:val="1A1A1A"/>
                <w:sz w:val="19"/>
                <w:szCs w:val="19"/>
              </w:rPr>
              <w:t xml:space="preserve">Adherence:         Antihypertensive adherence as a separate KB-21 track, adherence-first card logic</w:t>
            </w:r>
          </w:p>
          <w:p>
            <w:pPr>
              <w:spacing w:after="32" w:before="32"/>
            </w:pPr>
            <w:r>
              <w:rPr>
                <w:rFonts w:ascii="Arial" w:cs="Arial" w:eastAsia="Arial" w:hAnsi="Arial"/>
                <w:b w:val="false"/>
                <w:bCs w:val="false"/>
                <w:i w:val="false"/>
                <w:iCs w:val="false"/>
                <w:color w:val="1A1A1A"/>
                <w:sz w:val="19"/>
                <w:szCs w:val="19"/>
              </w:rPr>
              <w:t xml:space="preserve">Escalation guard:  Resistant HTN classification, secondary HTN red flags, lifestyle-first sequencing</w:t>
            </w:r>
          </w:p>
          <w:p>
            <w:pPr>
              <w:spacing w:after="32" w:before="32"/>
            </w:pPr>
            <w:r>
              <w:rPr>
                <w:rFonts w:ascii="Arial" w:cs="Arial" w:eastAsia="Arial" w:hAnsi="Arial"/>
                <w:b w:val="false"/>
                <w:bCs w:val="false"/>
                <w:i w:val="false"/>
                <w:iCs w:val="false"/>
                <w:color w:val="1A1A1A"/>
                <w:sz w:val="19"/>
                <w:szCs w:val="19"/>
              </w:rPr>
              <w:t xml:space="preserve">Renal protection:  ACR longitudinal tracking, RAAS efficacy monitoring, eGFR-stratified BP floor</w:t>
            </w:r>
          </w:p>
          <w:p>
            <w:pPr>
              <w:spacing w:after="32" w:before="32"/>
            </w:pPr>
            <w:r>
              <w:rPr>
                <w:rFonts w:ascii="Arial" w:cs="Arial" w:eastAsia="Arial" w:hAnsi="Arial"/>
                <w:b w:val="false"/>
                <w:bCs w:val="false"/>
                <w:i w:val="false"/>
                <w:iCs w:val="false"/>
                <w:color w:val="1A1A1A"/>
                <w:sz w:val="19"/>
                <w:szCs w:val="19"/>
              </w:rPr>
              <w:t xml:space="preserve">Chronotherapy:     Medication timing as pre-escalation option for morning surge</w:t>
            </w:r>
          </w:p>
          <w:p>
            <w:pPr>
              <w:spacing w:after="32" w:before="32"/>
            </w:pPr>
            <w:r>
              <w:rPr>
                <w:rFonts w:ascii="Arial" w:cs="Arial" w:eastAsia="Arial" w:hAnsi="Arial"/>
                <w:b w:val="false"/>
                <w:bCs w:val="false"/>
                <w:i w:val="false"/>
                <w:iCs w:val="false"/>
                <w:color w:val="1A1A1A"/>
                <w:sz w:val="19"/>
                <w:szCs w:val="19"/>
              </w:rPr>
              <w:t xml:space="preserve"/>
            </w:r>
          </w:p>
          <w:p>
            <w:pPr>
              <w:spacing w:after="32" w:before="32"/>
            </w:pPr>
            <w:r>
              <w:rPr>
                <w:rFonts w:ascii="Arial" w:cs="Arial" w:eastAsia="Arial" w:hAnsi="Arial"/>
                <w:b w:val="false"/>
                <w:bCs w:val="false"/>
                <w:i w:val="false"/>
                <w:iCs w:val="false"/>
                <w:color w:val="1A1A1A"/>
                <w:sz w:val="19"/>
                <w:szCs w:val="19"/>
              </w:rPr>
              <w:t xml:space="preserve">This architecture now covers substantially more clinical ground than most hospitalised DM+HTN management protocols — from a primary care, WhatsApp-based, physician-in-loop product.</w:t>
            </w:r>
          </w:p>
        </w:tc>
      </w:tr>
    </w:tbl>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80"/>
    </w:pPr>
    <w:r>
      <w:rPr>
        <w:rFonts w:ascii="Arial" w:cs="Arial" w:eastAsia="Arial" w:hAnsi="Arial"/>
        <w:b w:val="false"/>
        <w:bCs w:val="false"/>
        <w:i w:val="false"/>
        <w:iCs w:val="false"/>
        <w:color w:val="999999"/>
        <w:sz w:val="16"/>
        <w:szCs w:val="16"/>
      </w:rPr>
      <w:t xml:space="preserve">CONFIDENTIAL — Vaidshala Internal  ·  Amendments to Hypertension Integration Proposal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before="0"/>
    </w:pPr>
    <w:r>
      <w:rPr>
        <w:rFonts w:ascii="Arial" w:cs="Arial" w:eastAsia="Arial" w:hAnsi="Arial"/>
        <w:b w:val="false"/>
        <w:bCs w:val="false"/>
        <w:i w:val="false"/>
        <w:iCs w:val="false"/>
        <w:color w:val="777777"/>
        <w:sz w:val="17"/>
        <w:szCs w:val="17"/>
      </w:rPr>
      <w:t xml:space="preserve">Vaidshala v3  ·  HTN Integration — Clinical Amendment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00"/>
      <w:outlineLvl w:val="0"/>
    </w:pPr>
    <w:rPr>
      <w:rFonts w:ascii="Arial" w:cs="Arial" w:eastAsia="Arial" w:hAnsi="Arial"/>
      <w:b/>
      <w:bCs/>
      <w:color w:val="1F4E79"/>
      <w:sz w:val="34"/>
      <w:szCs w:val="34"/>
    </w:rPr>
  </w:style>
  <w:style w:type="paragraph" w:styleId="Heading2">
    <w:name w:val="Heading 2"/>
    <w:basedOn w:val="Normal"/>
    <w:next w:val="Normal"/>
    <w:pPr>
      <w:spacing w:after="100" w:before="240"/>
      <w:outlineLvl w:val="1"/>
    </w:pPr>
    <w:rPr>
      <w:rFonts w:ascii="Arial" w:cs="Arial" w:eastAsia="Arial" w:hAnsi="Arial"/>
      <w:b/>
      <w:bCs/>
      <w:color w:val="2E75B6"/>
      <w:sz w:val="26"/>
      <w:szCs w:val="26"/>
    </w:rPr>
  </w:style>
  <w:style w:type="paragraph" w:styleId="Heading3">
    <w:name w:val="Heading 3"/>
    <w:basedOn w:val="Normal"/>
    <w:next w:val="Normal"/>
    <w:pPr>
      <w:spacing w:after="80" w:before="18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2026-03-08T04:56:08.933Z</dcterms:created>
  <dcterms:modified xsi:type="dcterms:W3CDTF">2026-03-08T04:56:08.935Z</dcterms:modified>
</cp:coreProperties>
</file>

<file path=docProps/custom.xml><?xml version="1.0" encoding="utf-8"?>
<Properties xmlns="http://schemas.openxmlformats.org/officeDocument/2006/custom-properties" xmlns:vt="http://schemas.openxmlformats.org/officeDocument/2006/docPropsVTypes"/>
</file>