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Arial" w:cs="Arial" w:eastAsia="Arial" w:hAnsi="Arial"/>
          <w:b/>
          <w:bCs/>
          <w:i w:val="false"/>
          <w:iCs w:val="false"/>
          <w:color w:val="1F4E79"/>
          <w:sz w:val="48"/>
          <w:szCs w:val="48"/>
        </w:rPr>
        <w:t xml:space="preserve">Hypertension in the</w:t>
      </w:r>
    </w:p>
    <w:p>
      <w:pPr>
        <w:spacing w:after="60" w:before="0"/>
      </w:pPr>
      <w:r>
        <w:rPr>
          <w:rFonts w:ascii="Arial" w:cs="Arial" w:eastAsia="Arial" w:hAnsi="Arial"/>
          <w:b/>
          <w:bCs/>
          <w:i w:val="false"/>
          <w:iCs w:val="false"/>
          <w:color w:val="2E75B6"/>
          <w:sz w:val="48"/>
          <w:szCs w:val="48"/>
        </w:rPr>
        <w:t xml:space="preserve">Vaidshala Correction Loop</w:t>
      </w:r>
    </w:p>
    <w:p>
      <w:pPr>
        <w:spacing w:after="40" w:before="0"/>
      </w:pPr>
      <w:r>
        <w:rPr>
          <w:rFonts w:ascii="Arial" w:cs="Arial" w:eastAsia="Arial" w:hAnsi="Arial"/>
          <w:b w:val="false"/>
          <w:bCs w:val="false"/>
          <w:i w:val="false"/>
          <w:iCs w:val="false"/>
          <w:color w:val="555555"/>
          <w:sz w:val="24"/>
          <w:szCs w:val="24"/>
        </w:rPr>
        <w:t xml:space="preserve">Clinical Architecture Proposal — March 2026</w:t>
      </w:r>
    </w:p>
    <w:p>
      <w:pPr>
        <w:spacing w:after="60" w:before="20"/>
      </w:pPr>
      <w:r>
        <w:rPr>
          <w:rFonts w:ascii="Arial" w:cs="Arial" w:eastAsia="Arial" w:hAnsi="Arial"/>
          <w:b/>
          <w:bCs/>
          <w:i w:val="false"/>
          <w:iCs w:val="false"/>
          <w:color w:val="1A1A1A"/>
          <w:sz w:val="20"/>
          <w:szCs w:val="20"/>
        </w:rPr>
        <w:t xml:space="preserve">Scope: </w:t>
      </w:r>
      <w:r>
        <w:rPr>
          <w:rFonts w:ascii="Arial" w:cs="Arial" w:eastAsia="Arial" w:hAnsi="Arial"/>
          <w:b w:val="false"/>
          <w:bCs w:val="false"/>
          <w:i w:val="false"/>
          <w:iCs w:val="false"/>
          <w:color w:val="1A1A1A"/>
          <w:sz w:val="20"/>
          <w:szCs w:val="20"/>
        </w:rPr>
        <w:t xml:space="preserve">Full integration of hypertension trajectory intelligence into the DM+HTN+CKD correction loop — covering clinical framework, BP measurement trust hierarchy, five architectural extensions (KB-20, KB-22, KB-23, Channel B, Channel C), the beta-blocker problem, SGLT2i dual-action handling, and the three-stage roadmap to a full cardiometabolic control system.</w:t>
      </w:r>
    </w:p>
    <w:p>
      <w:pPr>
        <w:pBdr>
          <w:bottom w:val="single" w:color="2E75B6" w:sz="6"/>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Design Principles Governing This Proposal</w:t>
            </w:r>
          </w:p>
          <w:p>
            <w:pPr>
              <w:spacing w:after="32" w:before="32"/>
            </w:pPr>
            <w:r>
              <w:rPr>
                <w:rFonts w:ascii="Arial" w:cs="Arial" w:eastAsia="Arial" w:hAnsi="Arial"/>
                <w:b w:val="false"/>
                <w:bCs w:val="false"/>
                <w:i w:val="false"/>
                <w:iCs w:val="false"/>
                <w:color w:val="1A1A1A"/>
                <w:sz w:val="19"/>
                <w:szCs w:val="19"/>
              </w:rPr>
              <w:t xml:space="preserve">1. BP enters the architecture as a parallel trajectory monitor in v1 — not a coupled control loop variable. Coupled loops without careful decoupling mathematics become unstable.</w:t>
            </w:r>
          </w:p>
          <w:p>
            <w:pPr>
              <w:spacing w:after="32" w:before="32"/>
            </w:pPr>
            <w:r>
              <w:rPr>
                <w:rFonts w:ascii="Arial" w:cs="Arial" w:eastAsia="Arial" w:hAnsi="Arial"/>
                <w:b w:val="false"/>
                <w:bCs w:val="false"/>
                <w:i w:val="false"/>
                <w:iCs w:val="false"/>
                <w:color w:val="1A1A1A"/>
                <w:sz w:val="19"/>
                <w:szCs w:val="19"/>
              </w:rPr>
              <w:t xml:space="preserve">2. V-MCU does not titrate antihypertensives autonomously in v1 or v2. Physician is the execution gate for all antihypertensive changes.</w:t>
            </w:r>
          </w:p>
          <w:p>
            <w:pPr>
              <w:spacing w:after="32" w:before="32"/>
            </w:pPr>
            <w:r>
              <w:rPr>
                <w:rFonts w:ascii="Arial" w:cs="Arial" w:eastAsia="Arial" w:hAnsi="Arial"/>
                <w:b w:val="false"/>
                <w:bCs w:val="false"/>
                <w:i w:val="false"/>
                <w:iCs w:val="false"/>
                <w:color w:val="1A1A1A"/>
                <w:sz w:val="19"/>
                <w:szCs w:val="19"/>
              </w:rPr>
              <w:t xml:space="preserve">3. Channel B takes only objective measurements for hard gates. Subjective symptoms (dizziness) route through KB-22 HPI, not Channel B.</w:t>
            </w:r>
          </w:p>
          <w:p>
            <w:pPr>
              <w:spacing w:after="32" w:before="32"/>
            </w:pPr>
            <w:r>
              <w:rPr>
                <w:rFonts w:ascii="Arial" w:cs="Arial" w:eastAsia="Arial" w:hAnsi="Arial"/>
                <w:b w:val="false"/>
                <w:bCs w:val="false"/>
                <w:i w:val="false"/>
                <w:iCs w:val="false"/>
                <w:color w:val="1A1A1A"/>
                <w:sz w:val="19"/>
                <w:szCs w:val="19"/>
              </w:rPr>
              <w:t xml:space="preserve">4. The beta-blocker interaction is the most dangerous unaddressed clinical gap. It modifies both Channel B thresholds and KB-22 symptom question selection.</w:t>
            </w:r>
          </w:p>
          <w:p>
            <w:pPr>
              <w:spacing w:after="32" w:before="32"/>
            </w:pPr>
            <w:r>
              <w:rPr>
                <w:rFonts w:ascii="Arial" w:cs="Arial" w:eastAsia="Arial" w:hAnsi="Arial"/>
                <w:b w:val="false"/>
                <w:bCs w:val="false"/>
                <w:i w:val="false"/>
                <w:iCs w:val="false"/>
                <w:color w:val="1A1A1A"/>
                <w:sz w:val="19"/>
                <w:szCs w:val="19"/>
              </w:rPr>
              <w:t xml:space="preserve">5. SGLT2i is a dual-action drug — antidiabetic AND antihypertensive AND renal-protective. Any deprescribing decision must account for all three effects simultaneously.</w:t>
            </w:r>
          </w:p>
        </w:tc>
      </w:tr>
    </w:tbl>
    <w:p>
      <w:pPr>
        <w:spacing w:after="0" w:before="160"/>
      </w:pPr>
    </w:p>
    <w:p>
      <w:pPr>
        <w:pStyle w:val="Heading1"/>
        <w:spacing w:after="100" w:before="300"/>
      </w:pPr>
      <w:r>
        <w:rPr>
          <w:rFonts w:ascii="Arial" w:cs="Arial" w:eastAsia="Arial" w:hAnsi="Arial"/>
          <w:b/>
          <w:bCs/>
          <w:i w:val="false"/>
          <w:iCs w:val="false"/>
          <w:color w:val="1F4E79"/>
          <w:sz w:val="34"/>
          <w:szCs w:val="34"/>
        </w:rPr>
        <w:t xml:space="preserve">Part 1 — Clinical Framework: Why HTN Requires Active Architecture</w:t>
      </w:r>
    </w:p>
    <w:p>
      <w:pPr>
        <w:pStyle w:val="Heading2"/>
        <w:spacing w:after="100" w:before="240"/>
      </w:pPr>
      <w:r>
        <w:rPr>
          <w:rFonts w:ascii="Arial" w:cs="Arial" w:eastAsia="Arial" w:hAnsi="Arial"/>
          <w:b/>
          <w:bCs/>
          <w:i w:val="false"/>
          <w:iCs w:val="false"/>
          <w:color w:val="2E75B6"/>
          <w:sz w:val="26"/>
          <w:szCs w:val="26"/>
        </w:rPr>
        <w:t xml:space="preserve">1.1  The Risk Hierarchy in DM+HTN+CKD</w:t>
      </w:r>
    </w:p>
    <w:p>
      <w:pPr>
        <w:spacing w:after="80" w:before="60"/>
      </w:pPr>
      <w:r>
        <w:rPr>
          <w:rFonts w:ascii="Arial" w:cs="Arial" w:eastAsia="Arial" w:hAnsi="Arial"/>
          <w:b w:val="false"/>
          <w:bCs w:val="false"/>
          <w:i w:val="false"/>
          <w:iCs w:val="false"/>
          <w:color w:val="1A1A1A"/>
          <w:sz w:val="20"/>
          <w:szCs w:val="20"/>
        </w:rPr>
        <w:t xml:space="preserve">Both documents correctly cite UKPDS, ADVANCE, and ACCORD BP. The clinical summary is precise: in this triad, uncontrolled hypertension causes glomerular hypertension → eGFR decline → cardiovascular events faster than hyperglycaemia alone. However the architectural implication is more nuanced than 'BP trajectory matters as much as glucose trajectory.' The mechanisms are different and the intervention timescales are different.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Factor</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Timescale of Harm</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Architectural Implication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Uncontrolled hyperglycaemia (HbA1c &gt;8%)</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Microvascular damage: months to years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Correction loop operates on weeks. Trajectory classification over 12-week windows is appropriate.</w:t>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Uncontrolled hypertension (SBP &gt;160)</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Macrovascular + renal: weeks to months</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Detection must be faster. A 4-reading rising trend over 4 weeks is a clinically urgent signal, not a 12-week trajectory.</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Hypertensive urgency (SBP &gt;180)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Hours to days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Requires immediate physician notification. Not a 24-48h SLA — this is a same-session alert.</w:t>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Combined DM+HTN+CKD</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Synergistic — accelerates all pathways</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eGFR decline rate in uncontrolled DM+HTN is 3-5x faster than either alone. The eGFR slope metric KB-20 is acquiring becomes the shared warning signal for both conditions.</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1.2  The Beta-Blocker Problem — The Most Dangerous Unaddressed Gap</w:t>
      </w:r>
    </w:p>
    <w:p>
      <w:pPr>
        <w:spacing w:after="80" w:before="60"/>
      </w:pPr>
      <w:r>
        <w:rPr>
          <w:rFonts w:ascii="Arial" w:cs="Arial" w:eastAsia="Arial" w:hAnsi="Arial"/>
          <w:b w:val="false"/>
          <w:bCs w:val="false"/>
          <w:i w:val="false"/>
          <w:iCs w:val="false"/>
          <w:color w:val="1A1A1A"/>
          <w:sz w:val="20"/>
          <w:szCs w:val="20"/>
        </w:rPr>
        <w:t xml:space="preserve">Neither document addresses this. It is the single most dangerous drug interaction in the DM+HTN population and it cuts across three components of the architecture simultaneously.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00000" w:sz="1"/>
            </w:tcBorders>
            <w:shd w:fill="FCE4D6" w:val="clear"/>
            <w:tcMar>
              <w:top w:type="dxa" w:w="120"/>
              <w:left w:type="dxa" w:w="200"/>
              <w:bottom w:type="dxa" w:w="120"/>
              <w:right w:type="dxa" w:w="160"/>
            </w:tcMar>
          </w:tcPr>
          <w:p>
            <w:pPr>
              <w:spacing w:after="80" w:before="40"/>
            </w:pPr>
            <w:r>
              <w:rPr>
                <w:rFonts w:ascii="Arial" w:cs="Arial" w:eastAsia="Arial" w:hAnsi="Arial"/>
                <w:b/>
                <w:bCs/>
                <w:i w:val="false"/>
                <w:iCs w:val="false"/>
                <w:color w:val="C00000"/>
                <w:sz w:val="20"/>
                <w:szCs w:val="20"/>
              </w:rPr>
              <w:t xml:space="preserve">The Beta-Blocker + Insulin Interaction</w:t>
            </w:r>
          </w:p>
          <w:p>
            <w:pPr>
              <w:spacing w:after="32" w:before="32"/>
            </w:pPr>
            <w:r>
              <w:rPr>
                <w:rFonts w:ascii="Arial" w:cs="Arial" w:eastAsia="Arial" w:hAnsi="Arial"/>
                <w:b w:val="false"/>
                <w:bCs w:val="false"/>
                <w:i w:val="false"/>
                <w:iCs w:val="false"/>
                <w:color w:val="1A1A1A"/>
                <w:sz w:val="19"/>
                <w:szCs w:val="19"/>
              </w:rPr>
              <w:t xml:space="preserve">Beta-blockers (atenolol, metoprolol, bisoprolol, carvedilol) are second or third-line antihypertensives commonly prescribed in DM+HTN, particularly in patients with prior MI or heart failure.</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In a hypoglycaemic episode, the normal autonomic warning cascade is: glucose drops → adrenergic activation → tachycardia + tremor + palpitations → patient recognises and acts.</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Beta-blockers block this cascade. The patient feels NONE of the classic warning symptoms. The first symptom they experience is neuroglycopaenic (confusion, loss of consciousness) — at which point they can no longer self-treat.</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Clinical consequence: A patient on beta-blocker + insulin who has a hypoglycaemic episode may progress to loss of consciousness without any intermediate warning. This is a documented cause of preventable DM deaths in primary care.</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Architectural consequence: The system must know whether a patient is on a beta-blocker BEFORE it interprets hypoglycaemia symptoms in KB-22 and BEFORE it sets Channel B glucose thresholds.</w:t>
            </w:r>
          </w:p>
        </w:tc>
      </w:tr>
    </w:tbl>
    <w:p>
      <w:pPr>
        <w:spacing w:after="0" w:before="80"/>
      </w:pPr>
    </w:p>
    <w:p>
      <w:pPr>
        <w:spacing w:after="80" w:before="60"/>
      </w:pPr>
      <w:r>
        <w:rPr>
          <w:rFonts w:ascii="Arial" w:cs="Arial" w:eastAsia="Arial" w:hAnsi="Arial"/>
          <w:b w:val="false"/>
          <w:bCs w:val="false"/>
          <w:i w:val="false"/>
          <w:iCs w:val="false"/>
          <w:color w:val="1A1A1A"/>
          <w:sz w:val="20"/>
          <w:szCs w:val="20"/>
        </w:rPr>
        <w:t xml:space="preserve">This has three specific architectural implications, none of which are currently implemented:</w:t>
      </w:r>
    </w:p>
    <w:p>
      <w:pPr>
        <w:spacing w:after="0" w:before="80"/>
      </w:pPr>
    </w:p>
    <w:p>
      <w:pPr>
        <w:spacing w:after="80" w:before="60"/>
      </w:pPr>
      <w:r>
        <w:rPr>
          <w:rFonts w:ascii="Arial" w:cs="Arial" w:eastAsia="Arial" w:hAnsi="Arial"/>
          <w:b/>
          <w:bCs/>
          <w:i w:val="false"/>
          <w:iCs w:val="false"/>
          <w:color w:val="1A1A1A"/>
          <w:sz w:val="20"/>
          <w:szCs w:val="20"/>
        </w:rPr>
        <w:t xml:space="preserve">First — Channel B glucose HALT threshold must be raised for beta-blocker patients.</w:t>
      </w:r>
    </w:p>
    <w:p>
      <w:pPr>
        <w:spacing w:after="80" w:before="60"/>
      </w:pPr>
      <w:r>
        <w:rPr>
          <w:rFonts w:ascii="Arial" w:cs="Arial" w:eastAsia="Arial" w:hAnsi="Arial"/>
          <w:b w:val="false"/>
          <w:bCs w:val="false"/>
          <w:i w:val="false"/>
          <w:iCs w:val="false"/>
          <w:color w:val="1A1A1A"/>
          <w:sz w:val="20"/>
          <w:szCs w:val="20"/>
        </w:rPr>
        <w:t xml:space="preserve">B-01 currently: Glucose &lt; 3.9 mmol/L → HALT. For patients on beta-blockers, the HALT threshold should be &lt; 4.5 mmol/L. The reason: by the time glucose reaches 3.9 in a beta-blocked patient, the autonomic warning window has already closed. The system must catch the drop earlier. This is not a Channel B configuration change — it requires Channel B to receive MedicationFact context, which is currently forbidden by the import constraint.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6"/>
              <w:bottom w:val="single" w:color="BF8F00" w:sz="1"/>
              <w:right w:val="single" w:color="BF8F00" w:sz="1"/>
            </w:tcBorders>
            <w:shd w:fill="FFF2CC" w:val="clear"/>
            <w:tcMar>
              <w:top w:type="dxa" w:w="120"/>
              <w:left w:type="dxa" w:w="200"/>
              <w:bottom w:type="dxa" w:w="120"/>
              <w:right w:type="dxa" w:w="160"/>
            </w:tcMar>
          </w:tcPr>
          <w:p>
            <w:pPr>
              <w:spacing w:after="80" w:before="40"/>
            </w:pPr>
            <w:r>
              <w:rPr>
                <w:rFonts w:ascii="Arial" w:cs="Arial" w:eastAsia="Arial" w:hAnsi="Arial"/>
                <w:b/>
                <w:bCs/>
                <w:i w:val="false"/>
                <w:iCs w:val="false"/>
                <w:color w:val="BF8F00"/>
                <w:sz w:val="20"/>
                <w:szCs w:val="20"/>
              </w:rPr>
              <w:t xml:space="preserve">Resolving the Beta-Blocker Channel B Conflict Without Breaking Import Isolation</w:t>
            </w:r>
          </w:p>
          <w:p>
            <w:pPr>
              <w:spacing w:after="32" w:before="32"/>
            </w:pPr>
            <w:r>
              <w:rPr>
                <w:rFonts w:ascii="Arial" w:cs="Arial" w:eastAsia="Arial" w:hAnsi="Arial"/>
                <w:b w:val="false"/>
                <w:bCs w:val="false"/>
                <w:i w:val="false"/>
                <w:iCs w:val="false"/>
                <w:color w:val="1A1A1A"/>
                <w:sz w:val="19"/>
                <w:szCs w:val="19"/>
              </w:rPr>
              <w:t xml:space="preserve">Channel B must not import medication context directly — this would compromise its physiological independence.</w:t>
            </w:r>
          </w:p>
          <w:p>
            <w:pPr>
              <w:spacing w:after="32" w:before="32"/>
            </w:pPr>
            <w:r>
              <w:rPr>
                <w:rFonts w:ascii="Arial" w:cs="Arial" w:eastAsia="Arial" w:hAnsi="Arial"/>
                <w:b w:val="false"/>
                <w:bCs w:val="false"/>
                <w:i w:val="false"/>
                <w:iCs w:val="false"/>
                <w:color w:val="1A1A1A"/>
                <w:sz w:val="19"/>
                <w:szCs w:val="19"/>
              </w:rPr>
              <w:t xml:space="preserve">Solution: The RawInputs struct (Channel B's only input) gains one boolean field: beta_blocker_active (bool). This is set by the V-MCU orchestrator (RunCycle) from the FactStore MedicationFact BEFORE calling Channel B.</w:t>
            </w:r>
          </w:p>
          <w:p>
            <w:pPr>
              <w:spacing w:after="32" w:before="32"/>
            </w:pPr>
            <w:r>
              <w:rPr>
                <w:rFonts w:ascii="Arial" w:cs="Arial" w:eastAsia="Arial" w:hAnsi="Arial"/>
                <w:b w:val="false"/>
                <w:bCs w:val="false"/>
                <w:i w:val="false"/>
                <w:iCs w:val="false"/>
                <w:color w:val="1A1A1A"/>
                <w:sz w:val="19"/>
                <w:szCs w:val="19"/>
              </w:rPr>
              <w:t xml:space="preserve">Channel B never knows what a beta-blocker is. It only knows that the glucose HALT threshold for this patient is 4.5, not 3.9. The threshold override is computed by the orchestrator and passed as a RawInputs field.</w:t>
            </w:r>
          </w:p>
          <w:p>
            <w:pPr>
              <w:spacing w:after="32" w:before="32"/>
            </w:pPr>
            <w:r>
              <w:rPr>
                <w:rFonts w:ascii="Arial" w:cs="Arial" w:eastAsia="Arial" w:hAnsi="Arial"/>
                <w:b w:val="false"/>
                <w:bCs w:val="false"/>
                <w:i w:val="false"/>
                <w:iCs w:val="false"/>
                <w:color w:val="1A1A1A"/>
                <w:sz w:val="19"/>
                <w:szCs w:val="19"/>
              </w:rPr>
              <w:t xml:space="preserve">This preserves Channel B's physiological independence while safely propagating the clinical context.</w:t>
            </w:r>
          </w:p>
        </w:tc>
      </w:tr>
    </w:tbl>
    <w:p>
      <w:pPr>
        <w:spacing w:after="0" w:before="80"/>
      </w:pPr>
    </w:p>
    <w:p>
      <w:pPr>
        <w:spacing w:after="80" w:before="60"/>
      </w:pPr>
      <w:r>
        <w:rPr>
          <w:rFonts w:ascii="Arial" w:cs="Arial" w:eastAsia="Arial" w:hAnsi="Arial"/>
          <w:b/>
          <w:bCs/>
          <w:i w:val="false"/>
          <w:iCs w:val="false"/>
          <w:color w:val="1A1A1A"/>
          <w:sz w:val="20"/>
          <w:szCs w:val="20"/>
        </w:rPr>
        <w:t xml:space="preserve">Second — KB-22 must modify its hypoglycaemia symptom question set for beta-blocker patients.</w:t>
      </w:r>
    </w:p>
    <w:p>
      <w:pPr>
        <w:spacing w:after="80" w:before="60"/>
      </w:pPr>
      <w:r>
        <w:rPr>
          <w:rFonts w:ascii="Arial" w:cs="Arial" w:eastAsia="Arial" w:hAnsi="Arial"/>
          <w:b w:val="false"/>
          <w:bCs w:val="false"/>
          <w:i w:val="false"/>
          <w:iCs w:val="false"/>
          <w:color w:val="1A1A1A"/>
          <w:sz w:val="20"/>
          <w:szCs w:val="20"/>
        </w:rPr>
        <w:t xml:space="preserve">The entropy-maximising question selector in KB-22 currently treats all patients identically when eliciting hypoglycaemia symptoms. For a patient on beta-blocker, palpitations and tremor are suppressed symptoms — asking about them provides low diagnostic information. The KB-22 HPI graph must include a beta-blocker-aware question branch: suppress palpitation/tremor questions, weight diaphoresis + cognitive symptoms + hunger higher.</w:t>
      </w:r>
    </w:p>
    <w:p>
      <w:pPr>
        <w:spacing w:after="0" w:before="80"/>
      </w:pPr>
    </w:p>
    <w:p>
      <w:pPr>
        <w:spacing w:after="80" w:before="60"/>
      </w:pPr>
      <w:r>
        <w:rPr>
          <w:rFonts w:ascii="Arial" w:cs="Arial" w:eastAsia="Arial" w:hAnsi="Arial"/>
          <w:b/>
          <w:bCs/>
          <w:i w:val="false"/>
          <w:iCs w:val="false"/>
          <w:color w:val="1A1A1A"/>
          <w:sz w:val="20"/>
          <w:szCs w:val="20"/>
        </w:rPr>
        <w:t xml:space="preserve">Third — Channel C must enforce a mandatory physician alert when insulin is prescribed to a patient already on a beta-blocker.</w:t>
      </w:r>
    </w:p>
    <w:p>
      <w:pPr>
        <w:spacing w:after="80" w:before="60"/>
      </w:pPr>
      <w:r>
        <w:rPr>
          <w:rFonts w:ascii="Arial" w:cs="Arial" w:eastAsia="Arial" w:hAnsi="Arial"/>
          <w:b w:val="false"/>
          <w:bCs w:val="false"/>
          <w:i w:val="false"/>
          <w:iCs w:val="false"/>
          <w:color w:val="1A1A1A"/>
          <w:sz w:val="20"/>
          <w:szCs w:val="20"/>
        </w:rPr>
        <w:t xml:space="preserve">PG-09 (new): beta_blocker_active + insulin_class_active → MODIFY gate + mandatory SAFETY_INSTRUCTION in KB-23 card: 'Patient is on beta-blocker. Hypoglycaemia warning symptoms are suppressed. Educate patient to check glucose by measurement, not by symptoms. Consider switching to cardioselective beta-blocker if clinically appropriate.'</w:t>
      </w:r>
    </w:p>
    <w:p>
      <w:pPr>
        <w:spacing w:after="0" w:before="160"/>
      </w:pPr>
    </w:p>
    <w:p>
      <w:pPr>
        <w:pStyle w:val="Heading2"/>
        <w:spacing w:after="100" w:before="240"/>
      </w:pPr>
      <w:r>
        <w:rPr>
          <w:rFonts w:ascii="Arial" w:cs="Arial" w:eastAsia="Arial" w:hAnsi="Arial"/>
          <w:b/>
          <w:bCs/>
          <w:i w:val="false"/>
          <w:iCs w:val="false"/>
          <w:color w:val="2E75B6"/>
          <w:sz w:val="26"/>
          <w:szCs w:val="26"/>
        </w:rPr>
        <w:t xml:space="preserve">1.3  BP Target Stratification for This Population</w:t>
      </w:r>
    </w:p>
    <w:p>
      <w:pPr>
        <w:spacing w:after="80" w:before="60"/>
      </w:pPr>
      <w:r>
        <w:rPr>
          <w:rFonts w:ascii="Arial" w:cs="Arial" w:eastAsia="Arial" w:hAnsi="Arial"/>
          <w:b w:val="false"/>
          <w:bCs w:val="false"/>
          <w:i w:val="false"/>
          <w:iCs w:val="false"/>
          <w:color w:val="1A1A1A"/>
          <w:sz w:val="20"/>
          <w:szCs w:val="20"/>
        </w:rPr>
        <w:t xml:space="preserve">BP targets are not uniform. The correct target depends on patient stratum, age, and CKD stage. These must be encoded in KB-23 templates — not hardcoded in Go logic — so the clinical team can update them as guidelines evolve.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Patient Stratum</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SBP Target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DBP Target</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Basis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DM only, age &lt;65</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&lt;130 mmHg</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&lt;80 mmHg</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ADA 2024 §10.3, RSSDI 2022</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DM + CKD (eGFR 30-60)</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&lt;130 mmHg</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&lt;80 mmHg</w:t>
            </w:r>
          </w:p>
        </w:tc>
        <w:tc>
          <w:tcPr>
            <w:tcW w:type="dxa" w:w="4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KDIGO 2021, ADA 2024 §11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DM + CKD + proteinuria (ACR &gt;30 mg/g)</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&lt;125 mmHg</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&lt;75 mmHg</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KDIGO 2021 — lower target for proteinuric CKD</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DM + elderly (age &gt;75)</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&lt;140 mmHg</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&lt;90 mmHg</w:t>
            </w:r>
          </w:p>
        </w:tc>
        <w:tc>
          <w:tcPr>
            <w:tcW w:type="dxa" w:w="4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ADA 2024 §13 — more lenient; orthostasis risk outweighs aggressive target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DM + frailty (any age)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Individualised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Individualised</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autonomous target — physician sets. System monitors only.</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DM + prior stroke</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&lt;130 mmHg</w:t>
            </w:r>
          </w:p>
        </w:tc>
        <w:tc>
          <w:tcPr>
            <w:tcW w:type="dxa" w:w="1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&lt;80 mmHg</w:t>
            </w:r>
          </w:p>
        </w:tc>
        <w:tc>
          <w:tcPr>
            <w:tcW w:type="dxa" w:w="4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AHA/ASA 2021 secondary prevention</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1.4  Drug Class Sequencing and the ACEi/ARB Priority Rule</w:t>
      </w:r>
    </w:p>
    <w:p>
      <w:pPr>
        <w:spacing w:after="80" w:before="60"/>
      </w:pPr>
      <w:r>
        <w:rPr>
          <w:rFonts w:ascii="Arial" w:cs="Arial" w:eastAsia="Arial" w:hAnsi="Arial"/>
          <w:b w:val="false"/>
          <w:bCs w:val="false"/>
          <w:i w:val="false"/>
          <w:iCs w:val="false"/>
          <w:color w:val="1A1A1A"/>
          <w:sz w:val="20"/>
          <w:szCs w:val="20"/>
        </w:rPr>
        <w:t xml:space="preserve">The deprescribing hierarchy in Document 7 has a clinical error that must be corrected: it places ACEi/ARB as the last to deprescribe, which is correct, but does not explain why — and therefore the architecture cannot enforce the reason. The reason matters for the system's drug interaction logic.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7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Line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Drug Class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Add When</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Note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1st line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 or ARB (not both)</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All DM+HTN patients with CKD or proteinuria</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Renal protective via RAAS blockade. Reduces proteinuria. Never combine ACEi + ARB — dual RAAS blockade causes hyperkalaemia and AKI (ONTARGET trial).</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2nd line</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Calcium channel blocker (amlodipine)</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above target on ACEi/ARB alone</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Additive BP lowering. No renal interaction. Peripheral oedema in ~10% — ask KB-22.</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3rd line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Thiazide (low-dose indapamide, not HCTZ)</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above target on 2 drugs</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HCTZ worsens insulin resistance — contraindicated in DM+HTN. Use indapamide instead. Channel C must enforce this.</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Use cautiously</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Beta-blocker</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Prior MI / Heart failure / Rate control</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Masks hypoglycaemia. Channel C PG-09 mandatory alert when added to insulin.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Avoid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High-dose thiazide (HCTZ &gt;25mg)</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Never first-line in DM</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Worsens insulin resistance, raises glucose. Channel C must flag if present.</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Dual action</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Already on for DM (eGFR &gt;45)</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Reduces SBP 3-5 mmHg independently. Account for this when estimating antihypertensive contribution.</w:t>
            </w:r>
          </w:p>
        </w:tc>
      </w:tr>
    </w:tbl>
    <w:p>
      <w:pPr>
        <w:spacing w:after="0" w:before="160"/>
      </w:pPr>
    </w:p>
    <w:p>
      <w:pPr>
        <w:pBdr>
          <w:bottom w:val="single" w:color="2E75B6" w:sz="6"/>
        </w:pBdr>
        <w:spacing w:after="160" w:before="160"/>
      </w:pPr>
    </w:p>
    <w:p>
      <w:r>
        <w:br w:type="page"/>
      </w:r>
    </w:p>
    <w:p>
      <w:pPr>
        <w:pStyle w:val="Heading1"/>
        <w:spacing w:after="100" w:before="300"/>
      </w:pPr>
      <w:r>
        <w:rPr>
          <w:rFonts w:ascii="Arial" w:cs="Arial" w:eastAsia="Arial" w:hAnsi="Arial"/>
          <w:b/>
          <w:bCs/>
          <w:i w:val="false"/>
          <w:iCs w:val="false"/>
          <w:color w:val="1F4E79"/>
          <w:sz w:val="34"/>
          <w:szCs w:val="34"/>
        </w:rPr>
        <w:t xml:space="preserve">Part 2 — BP Measurement Architecture and FactStore Extensions</w:t>
      </w:r>
    </w:p>
    <w:p>
      <w:pPr>
        <w:pStyle w:val="Heading2"/>
        <w:spacing w:after="100" w:before="240"/>
      </w:pPr>
      <w:r>
        <w:rPr>
          <w:rFonts w:ascii="Arial" w:cs="Arial" w:eastAsia="Arial" w:hAnsi="Arial"/>
          <w:b/>
          <w:bCs/>
          <w:i w:val="false"/>
          <w:iCs w:val="false"/>
          <w:color w:val="2E75B6"/>
          <w:sz w:val="26"/>
          <w:szCs w:val="26"/>
        </w:rPr>
        <w:t xml:space="preserve">2.1  The BP Measurement Trust Problem</w:t>
      </w:r>
    </w:p>
    <w:p>
      <w:pPr>
        <w:spacing w:after="80" w:before="60"/>
      </w:pPr>
      <w:r>
        <w:rPr>
          <w:rFonts w:ascii="Arial" w:cs="Arial" w:eastAsia="Arial" w:hAnsi="Arial"/>
          <w:b w:val="false"/>
          <w:bCs w:val="false"/>
          <w:i w:val="false"/>
          <w:iCs w:val="false"/>
          <w:color w:val="1A1A1A"/>
          <w:sz w:val="20"/>
          <w:szCs w:val="20"/>
        </w:rPr>
        <w:t xml:space="preserve">Blood pressure is not a single stable value. It has diurnal variation (morning surge, nocturnal dip), white coat effect (anxiety-driven elevation in clinic), masked hypertension (normal in clinic, elevated at home), and orthostatic variation. The system must handle all of these correctly or it will make clinically wrong decisions.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Measurement Context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Trust Level</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Architectural Handling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Clinic measurement (seated, 2-minute rest)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GOLD — hard gate eligible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B HALT/PAUSE may fire on this value. KB-20 trajectory primary source.</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Home device (validated BP monitor, arm cuff)</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HIGH — trend eligible</w:t>
            </w:r>
          </w:p>
        </w:tc>
        <w:tc>
          <w:tcPr>
            <w:tcW w:type="dxa" w:w="4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trajectory uses with source flag DEVICE. Channel B uses for trend but not single-reading HALT. Two consistent readings required.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Home self-reported (patient types value into WhatsApp)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MEDIUM — plausibility check required</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Routes to KB-20 with PATIENT_REPORTED flag. KB-20 applies cross-session plausibility check. Channel B never receives directly.</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Standing measurement (orthostatic check)</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CONTEXT-SPECIFIC</w:t>
            </w:r>
          </w:p>
        </w:tc>
        <w:tc>
          <w:tcPr>
            <w:tcW w:type="dxa" w:w="4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Stored with posture=STANDING flag. Used for orthostatic drop calculation only, not for HTN trajectory.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Ambulatory BP monitor (ABPM)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HIGHEST — but rare in v1 context</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Store if available. 24h mean is most predictive of cardiovascular risk. Flag as ABPM in VitalFact.</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2.2  VitalFact Extension</w:t>
      </w:r>
    </w:p>
    <w:p>
      <w:pPr>
        <w:spacing w:after="80" w:before="60"/>
      </w:pPr>
      <w:r>
        <w:rPr>
          <w:rFonts w:ascii="Arial" w:cs="Arial" w:eastAsia="Arial" w:hAnsi="Arial"/>
          <w:b w:val="false"/>
          <w:bCs w:val="false"/>
          <w:i w:val="false"/>
          <w:iCs w:val="false"/>
          <w:color w:val="1A1A1A"/>
          <w:sz w:val="20"/>
          <w:szCs w:val="20"/>
        </w:rPr>
        <w:t xml:space="preserve">The FactStore's VitalFact type needs BP-specific fields to carry the measurement context that determines which downstream consumers may use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VitalFact BP Extension Fields</w:t>
            </w:r>
          </w:p>
          <w:p>
            <w:pPr>
              <w:spacing w:after="32" w:before="32"/>
            </w:pPr>
            <w:r>
              <w:rPr>
                <w:rFonts w:ascii="Arial" w:cs="Arial" w:eastAsia="Arial" w:hAnsi="Arial"/>
                <w:b w:val="false"/>
                <w:bCs w:val="false"/>
                <w:i w:val="false"/>
                <w:iCs w:val="false"/>
                <w:color w:val="1A1A1A"/>
                <w:sz w:val="19"/>
                <w:szCs w:val="19"/>
              </w:rPr>
              <w:t xml:space="preserve">measurement_context: CLINIC | HOME_DEVICE | HOME_REPORTED | STANDING | SUPINE | ABPM</w:t>
            </w:r>
          </w:p>
          <w:p>
            <w:pPr>
              <w:spacing w:after="32" w:before="32"/>
            </w:pPr>
            <w:r>
              <w:rPr>
                <w:rFonts w:ascii="Arial" w:cs="Arial" w:eastAsia="Arial" w:hAnsi="Arial"/>
                <w:b w:val="false"/>
                <w:bCs w:val="false"/>
                <w:i w:val="false"/>
                <w:iCs w:val="false"/>
                <w:color w:val="1A1A1A"/>
                <w:sz w:val="19"/>
                <w:szCs w:val="19"/>
              </w:rPr>
              <w:t xml:space="preserve">posture: SEATED | STANDING | SUPINE | UNKNOWN</w:t>
            </w:r>
          </w:p>
          <w:p>
            <w:pPr>
              <w:spacing w:after="32" w:before="32"/>
            </w:pPr>
            <w:r>
              <w:rPr>
                <w:rFonts w:ascii="Arial" w:cs="Arial" w:eastAsia="Arial" w:hAnsi="Arial"/>
                <w:b w:val="false"/>
                <w:bCs w:val="false"/>
                <w:i w:val="false"/>
                <w:iCs w:val="false"/>
                <w:color w:val="1A1A1A"/>
                <w:sz w:val="19"/>
                <w:szCs w:val="19"/>
              </w:rPr>
              <w:t xml:space="preserve">arm: LEFT | RIGHT | UNKNOWN (systematic difference &gt;10 mmHg between arms = vascular asymmetry flag)</w:t>
            </w:r>
          </w:p>
          <w:p>
            <w:pPr>
              <w:spacing w:after="32" w:before="32"/>
            </w:pPr>
            <w:r>
              <w:rPr>
                <w:rFonts w:ascii="Arial" w:cs="Arial" w:eastAsia="Arial" w:hAnsi="Arial"/>
                <w:b w:val="false"/>
                <w:bCs w:val="false"/>
                <w:i w:val="false"/>
                <w:iCs w:val="false"/>
                <w:color w:val="1A1A1A"/>
                <w:sz w:val="19"/>
                <w:szCs w:val="19"/>
              </w:rPr>
              <w:t xml:space="preserve">time_of_day: MORNING | AFTERNOON | EVENING | NIGHT (for diurnal pattern detection)</w:t>
            </w:r>
          </w:p>
          <w:p>
            <w:pPr>
              <w:spacing w:after="32" w:before="32"/>
            </w:pPr>
            <w:r>
              <w:rPr>
                <w:rFonts w:ascii="Arial" w:cs="Arial" w:eastAsia="Arial" w:hAnsi="Arial"/>
                <w:b w:val="false"/>
                <w:bCs w:val="false"/>
                <w:i w:val="false"/>
                <w:iCs w:val="false"/>
                <w:color w:val="1A1A1A"/>
                <w:sz w:val="19"/>
                <w:szCs w:val="19"/>
              </w:rPr>
              <w:t xml:space="preserve">consecutive_reading_index: int (1, 2, 3 — BP reading #2 and #3 are more accurate than #1)</w:t>
            </w:r>
          </w:p>
          <w:p>
            <w:pPr>
              <w:spacing w:after="32" w:before="32"/>
            </w:pPr>
            <w:r>
              <w:rPr>
                <w:rFonts w:ascii="Arial" w:cs="Arial" w:eastAsia="Arial" w:hAnsi="Arial"/>
                <w:b w:val="false"/>
                <w:bCs w:val="false"/>
                <w:i w:val="false"/>
                <w:iCs w:val="false"/>
                <w:color w:val="1A1A1A"/>
                <w:sz w:val="19"/>
                <w:szCs w:val="19"/>
              </w:rPr>
              <w:t xml:space="preserve">minutes_since_last_activity: int (activity within 5 minutes invalidates reading)</w:t>
            </w:r>
          </w:p>
          <w:p>
            <w:pPr>
              <w:spacing w:after="32" w:before="32"/>
            </w:pPr>
            <w:r>
              <w:rPr>
                <w:rFonts w:ascii="Arial" w:cs="Arial" w:eastAsia="Arial" w:hAnsi="Arial"/>
                <w:b w:val="false"/>
                <w:bCs w:val="false"/>
                <w:i w:val="false"/>
                <w:iCs w:val="false"/>
                <w:color w:val="1A1A1A"/>
                <w:sz w:val="19"/>
                <w:szCs w:val="19"/>
              </w:rPr>
              <w:t xml:space="preserve">white_coat_flag: bool (patient reports anxiety at clinic — KB-22 HPI source)</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Projection rules:</w:t>
            </w:r>
          </w:p>
          <w:p>
            <w:pPr>
              <w:spacing w:after="32" w:before="32"/>
            </w:pPr>
            <w:r>
              <w:rPr>
                <w:rFonts w:ascii="Arial" w:cs="Arial" w:eastAsia="Arial" w:hAnsi="Arial"/>
                <w:b w:val="false"/>
                <w:bCs w:val="false"/>
                <w:i w:val="false"/>
                <w:iCs w:val="false"/>
                <w:color w:val="1A1A1A"/>
                <w:sz w:val="19"/>
                <w:szCs w:val="19"/>
              </w:rPr>
              <w:t xml:space="preserve">→ Channel B HALT: requires measurement_context IN [CLINIC, HOME_DEVICE] AND consecutive_reading_index &gt;= 2</w:t>
            </w:r>
          </w:p>
          <w:p>
            <w:pPr>
              <w:spacing w:after="32" w:before="32"/>
            </w:pPr>
            <w:r>
              <w:rPr>
                <w:rFonts w:ascii="Arial" w:cs="Arial" w:eastAsia="Arial" w:hAnsi="Arial"/>
                <w:b w:val="false"/>
                <w:bCs w:val="false"/>
                <w:i w:val="false"/>
                <w:iCs w:val="false"/>
                <w:color w:val="1A1A1A"/>
                <w:sz w:val="19"/>
                <w:szCs w:val="19"/>
              </w:rPr>
              <w:t xml:space="preserve">→ KB-20 trajectory: accepts all contexts with source weight applied</w:t>
            </w:r>
          </w:p>
          <w:p>
            <w:pPr>
              <w:spacing w:after="32" w:before="32"/>
            </w:pPr>
            <w:r>
              <w:rPr>
                <w:rFonts w:ascii="Arial" w:cs="Arial" w:eastAsia="Arial" w:hAnsi="Arial"/>
                <w:b w:val="false"/>
                <w:bCs w:val="false"/>
                <w:i w:val="false"/>
                <w:iCs w:val="false"/>
                <w:color w:val="1A1A1A"/>
                <w:sz w:val="19"/>
                <w:szCs w:val="19"/>
              </w:rPr>
              <w:t xml:space="preserve">→ Orthostatic calculation: requires paired SEATED + STANDING readings within 3 minutes</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2.3  White Coat and Masked Hypertension Detection</w:t>
      </w:r>
    </w:p>
    <w:p>
      <w:pPr>
        <w:spacing w:after="80" w:before="60"/>
      </w:pPr>
      <w:r>
        <w:rPr>
          <w:rFonts w:ascii="Arial" w:cs="Arial" w:eastAsia="Arial" w:hAnsi="Arial"/>
          <w:b w:val="false"/>
          <w:bCs w:val="false"/>
          <w:i w:val="false"/>
          <w:iCs w:val="false"/>
          <w:color w:val="1A1A1A"/>
          <w:sz w:val="20"/>
          <w:szCs w:val="20"/>
        </w:rPr>
        <w:t xml:space="preserve">These are clinically important patterns in the Indian outpatient population. White coat hypertension (clinic high, home normal) affects 15-30% of apparently hypertensive patients. Masked hypertension (clinic normal, home high) is more dangerous and affects 10-15%. The system needs to detect both.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Pattern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Detection Logic in KB-20</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Response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White coat hypertension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Clinic SBP consistently &gt;140 AND home device SBP consistently &lt;130 across 4+ paired readings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HYPERTENSION_REVIEW card: note white coat pattern. Caution against over-treatment. Suggest ABPM for confirmation.</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Masked hypertension</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Clinic SBP &lt;140 AND home device SBP consistently &gt;135 across 4+ paired readings</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HYPERTENSION_REVIEW: alert — masked HTN has higher CV risk than white coat. Treat based on home readings.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Morning surge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Home morning SBP consistently &gt;20 mmHg higher than evening readings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Flag in KB-20 bp_pattern field. Relevant for medication timing — once-daily antihypertensive should be given at night for morning surge.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Nocturnal non-dipping</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If ABPM data available: night/day ratio &gt;0.9</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Strong predictor of CKD progression in DM. Escalate monitoring frequency. Flag for physician.</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Part 3 — KB-20: Longitudinal State Engine Extensions for BP</w:t>
      </w:r>
    </w:p>
    <w:p>
      <w:pPr>
        <w:pStyle w:val="Heading2"/>
        <w:spacing w:after="100" w:before="240"/>
      </w:pPr>
      <w:r>
        <w:rPr>
          <w:rFonts w:ascii="Arial" w:cs="Arial" w:eastAsia="Arial" w:hAnsi="Arial"/>
          <w:b/>
          <w:bCs/>
          <w:i w:val="false"/>
          <w:iCs w:val="false"/>
          <w:color w:val="2E75B6"/>
          <w:sz w:val="26"/>
          <w:szCs w:val="26"/>
        </w:rPr>
        <w:t xml:space="preserve">3.1  BP State Machine</w:t>
      </w:r>
    </w:p>
    <w:p>
      <w:pPr>
        <w:spacing w:after="80" w:before="60"/>
      </w:pPr>
      <w:r>
        <w:rPr>
          <w:rFonts w:ascii="Arial" w:cs="Arial" w:eastAsia="Arial" w:hAnsi="Arial"/>
          <w:b w:val="false"/>
          <w:bCs w:val="false"/>
          <w:i w:val="false"/>
          <w:iCs w:val="false"/>
          <w:color w:val="1A1A1A"/>
          <w:sz w:val="20"/>
          <w:szCs w:val="20"/>
        </w:rPr>
        <w:t xml:space="preserve">KB-20 must add a dedicated BPTrajectory struct alongside its existing glucose and renal trajectory tracking. The classification logic mirrors the glucose trajectory state machine in structure but uses different clinical thresholds and faster detection windows.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New KB-20 BPTrajectory Struct</w:t>
            </w:r>
          </w:p>
          <w:p>
            <w:pPr>
              <w:spacing w:after="32" w:before="32"/>
            </w:pPr>
            <w:r>
              <w:rPr>
                <w:rFonts w:ascii="Arial" w:cs="Arial" w:eastAsia="Arial" w:hAnsi="Arial"/>
                <w:b w:val="false"/>
                <w:bCs w:val="false"/>
                <w:i w:val="false"/>
                <w:iCs w:val="false"/>
                <w:color w:val="1A1A1A"/>
                <w:sz w:val="19"/>
                <w:szCs w:val="19"/>
              </w:rPr>
              <w:t xml:space="preserve">sbp_readings:    []BPReading{value, measured_at, source, context}</w:t>
            </w:r>
          </w:p>
          <w:p>
            <w:pPr>
              <w:spacing w:after="32" w:before="32"/>
            </w:pPr>
            <w:r>
              <w:rPr>
                <w:rFonts w:ascii="Arial" w:cs="Arial" w:eastAsia="Arial" w:hAnsi="Arial"/>
                <w:b w:val="false"/>
                <w:bCs w:val="false"/>
                <w:i w:val="false"/>
                <w:iCs w:val="false"/>
                <w:color w:val="1A1A1A"/>
                <w:sz w:val="19"/>
                <w:szCs w:val="19"/>
              </w:rPr>
              <w:t xml:space="preserve">dbp_readings:    []BPReading</w:t>
            </w:r>
          </w:p>
          <w:p>
            <w:pPr>
              <w:spacing w:after="32" w:before="32"/>
            </w:pPr>
            <w:r>
              <w:rPr>
                <w:rFonts w:ascii="Arial" w:cs="Arial" w:eastAsia="Arial" w:hAnsi="Arial"/>
                <w:b w:val="false"/>
                <w:bCs w:val="false"/>
                <w:i w:val="false"/>
                <w:iCs w:val="false"/>
                <w:color w:val="1A1A1A"/>
                <w:sz w:val="19"/>
                <w:szCs w:val="19"/>
              </w:rPr>
              <w:t xml:space="preserve">sbp_7d_mean:     float64   — weighted mean (clinic weight 1.0, device 0.8, reported 0.5)</w:t>
            </w:r>
          </w:p>
          <w:p>
            <w:pPr>
              <w:spacing w:after="32" w:before="32"/>
            </w:pPr>
            <w:r>
              <w:rPr>
                <w:rFonts w:ascii="Arial" w:cs="Arial" w:eastAsia="Arial" w:hAnsi="Arial"/>
                <w:b w:val="false"/>
                <w:bCs w:val="false"/>
                <w:i w:val="false"/>
                <w:iCs w:val="false"/>
                <w:color w:val="1A1A1A"/>
                <w:sz w:val="19"/>
                <w:szCs w:val="19"/>
              </w:rPr>
              <w:t xml:space="preserve">sbp_14d_mean:    float64</w:t>
            </w:r>
          </w:p>
          <w:p>
            <w:pPr>
              <w:spacing w:after="32" w:before="32"/>
            </w:pPr>
            <w:r>
              <w:rPr>
                <w:rFonts w:ascii="Arial" w:cs="Arial" w:eastAsia="Arial" w:hAnsi="Arial"/>
                <w:b w:val="false"/>
                <w:bCs w:val="false"/>
                <w:i w:val="false"/>
                <w:iCs w:val="false"/>
                <w:color w:val="1A1A1A"/>
                <w:sz w:val="19"/>
                <w:szCs w:val="19"/>
              </w:rPr>
              <w:t xml:space="preserve">sbp_4w_slope:    float64   — mmHg per week, linear regression over 4 weeks minimum</w:t>
            </w:r>
          </w:p>
          <w:p>
            <w:pPr>
              <w:spacing w:after="32" w:before="32"/>
            </w:pPr>
            <w:r>
              <w:rPr>
                <w:rFonts w:ascii="Arial" w:cs="Arial" w:eastAsia="Arial" w:hAnsi="Arial"/>
                <w:b w:val="false"/>
                <w:bCs w:val="false"/>
                <w:i w:val="false"/>
                <w:iCs w:val="false"/>
                <w:color w:val="1A1A1A"/>
                <w:sz w:val="19"/>
                <w:szCs w:val="19"/>
              </w:rPr>
              <w:t xml:space="preserve">dbp_7d_mean:     float64</w:t>
            </w:r>
          </w:p>
          <w:p>
            <w:pPr>
              <w:spacing w:after="32" w:before="32"/>
            </w:pPr>
            <w:r>
              <w:rPr>
                <w:rFonts w:ascii="Arial" w:cs="Arial" w:eastAsia="Arial" w:hAnsi="Arial"/>
                <w:b w:val="false"/>
                <w:bCs w:val="false"/>
                <w:i w:val="false"/>
                <w:iCs w:val="false"/>
                <w:color w:val="1A1A1A"/>
                <w:sz w:val="19"/>
                <w:szCs w:val="19"/>
              </w:rPr>
              <w:t xml:space="preserve">bp_target:       BPTarget{sbp, dbp}   — computed from patient stratum + age + ACR</w:t>
            </w:r>
          </w:p>
          <w:p>
            <w:pPr>
              <w:spacing w:after="32" w:before="32"/>
            </w:pPr>
            <w:r>
              <w:rPr>
                <w:rFonts w:ascii="Arial" w:cs="Arial" w:eastAsia="Arial" w:hAnsi="Arial"/>
                <w:b w:val="false"/>
                <w:bCs w:val="false"/>
                <w:i w:val="false"/>
                <w:iCs w:val="false"/>
                <w:color w:val="1A1A1A"/>
                <w:sz w:val="19"/>
                <w:szCs w:val="19"/>
              </w:rPr>
              <w:t xml:space="preserve">bp_status:       BPStatus enum</w:t>
            </w:r>
          </w:p>
          <w:p>
            <w:pPr>
              <w:spacing w:after="32" w:before="32"/>
            </w:pPr>
            <w:r>
              <w:rPr>
                <w:rFonts w:ascii="Arial" w:cs="Arial" w:eastAsia="Arial" w:hAnsi="Arial"/>
                <w:b w:val="false"/>
                <w:bCs w:val="false"/>
                <w:i w:val="false"/>
                <w:iCs w:val="false"/>
                <w:color w:val="1A1A1A"/>
                <w:sz w:val="19"/>
                <w:szCs w:val="19"/>
              </w:rPr>
              <w:t xml:space="preserve">bp_pattern:      BPPattern enum       — NORMAL | WHITE_COAT | MASKED | MORNING_SURGE | NOCTURNAL_NONDIP</w:t>
            </w:r>
          </w:p>
          <w:p>
            <w:pPr>
              <w:spacing w:after="32" w:before="32"/>
            </w:pPr>
            <w:r>
              <w:rPr>
                <w:rFonts w:ascii="Arial" w:cs="Arial" w:eastAsia="Arial" w:hAnsi="Arial"/>
                <w:b w:val="false"/>
                <w:bCs w:val="false"/>
                <w:i w:val="false"/>
                <w:iCs w:val="false"/>
                <w:color w:val="1A1A1A"/>
                <w:sz w:val="19"/>
                <w:szCs w:val="19"/>
              </w:rPr>
              <w:t xml:space="preserve">last_clinic_reading: BPReading</w:t>
            </w:r>
          </w:p>
          <w:p>
            <w:pPr>
              <w:spacing w:after="32" w:before="32"/>
            </w:pPr>
            <w:r>
              <w:rPr>
                <w:rFonts w:ascii="Arial" w:cs="Arial" w:eastAsia="Arial" w:hAnsi="Arial"/>
                <w:b w:val="false"/>
                <w:bCs w:val="false"/>
                <w:i w:val="false"/>
                <w:iCs w:val="false"/>
                <w:color w:val="1A1A1A"/>
                <w:sz w:val="19"/>
                <w:szCs w:val="19"/>
              </w:rPr>
              <w:t xml:space="preserve">orthostatic_drop: float64             — SBP standing minus SBP seated (negative = drop)</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3.2  BP Status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BPStatus</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Classification Logic</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Meaning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AT_TARGET</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sbp_7d_mean &lt;= bp_target.sbp AND dbp_7d_mean &lt;= bp_target.dbp</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Controlled. No action needed. Contributes to DEPRESCRIBING_MODE eligibility.</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ABOVE_TARGET</w:t>
            </w:r>
          </w:p>
        </w:tc>
        <w:tc>
          <w:tcPr>
            <w:tcW w:type="dxa" w:w="4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sbp_7d_mean &gt; bp_target.sbp by &lt;20 mmHg (sustained 3+ readings)</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Suboptimal control. HYPERTENSION_REVIEW card — SLA 48h. Physician considers dose titration.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DECLINING</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sbp_4w_slope &gt; +2.5 mmHg/week despite existing medication</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Rising trajectory. More urgent than ABOVE_TARGET even if still below 140. SLA 24h.</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SEVERE</w:t>
            </w:r>
          </w:p>
        </w:tc>
        <w:tc>
          <w:tcPr>
            <w:tcW w:type="dxa" w:w="4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sbp_7d_mean &gt;= bp_target.sbp + 20 mmHg OR any reading &gt;= 180</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Severe range. HYPERTENSION_REVIEW with urgent flag. Physician SLA 4h. V-MCU PAUSE.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URGENCY</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Any single clinic reading &gt;= 180 AND symptoms present (headache/visual disturbance)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Hypertensive urgency. Immediate physician alert — not a card SLA, a real-time notification. V-MCU HALT.</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HYPOTENSIVE</w:t>
            </w:r>
          </w:p>
        </w:tc>
        <w:tc>
          <w:tcPr>
            <w:tcW w:type="dxa" w:w="4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sbp_7d_mean &lt; 100 OR orthostatic_drop &lt; -20 mmHg</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Over-treated or haemodynamic instability. HYPERTENSION_REVIEW — consider antihypertensive dose reduction. V-MCU PAUSE.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UNKNOWN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Fewer than 3 readings in 30 days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Insufficient data. Flag for physician. No trajectory classification.</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3.3  BP Events Emitted by KB-20</w:t>
      </w:r>
    </w:p>
    <w:p>
      <w:pPr>
        <w:spacing w:after="80" w:before="60"/>
      </w:pPr>
      <w:r>
        <w:rPr>
          <w:rFonts w:ascii="Arial" w:cs="Arial" w:eastAsia="Arial" w:hAnsi="Arial"/>
          <w:b w:val="false"/>
          <w:bCs w:val="false"/>
          <w:i w:val="false"/>
          <w:iCs w:val="false"/>
          <w:color w:val="1A1A1A"/>
          <w:sz w:val="20"/>
          <w:szCs w:val="20"/>
        </w:rPr>
        <w:t xml:space="preserve">KB-20 must emit the following new events to the event bus. These trigger KB-23 card generation and V-MCU gate changes.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Event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Trigger Condition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Consumer + Action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BP_ALERT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bp_status transitions to ABOVE_TARGET or DECLINING</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generate HYPERTENSION_REVIEW card (48h SLA). V-MCU: no change.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BP_SEVERE_ALERT</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bp_status transitions to SEVERE</w:t>
            </w:r>
          </w:p>
        </w:tc>
        <w:tc>
          <w:tcPr>
            <w:tcW w:type="dxa" w:w="4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generate HYPERTENSION_REVIEW with urgent flag (4h SLA). V-MCU: PAUSE insulin titration pending physician review.</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BP_URGENCY_ALERT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bp_status = URGENCY</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immediate physician notification. V-MCU: HALT. KB-19: escalation event.</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BP_CONTROLLED</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bp_status transitions to AT_TARGET for first time or after ABOVE_TARGET</w:t>
            </w:r>
          </w:p>
        </w:tc>
        <w:tc>
          <w:tcPr>
            <w:tcW w:type="dxa" w:w="4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update DEPRESCRIBING_MODE eligibility. Milestone card if sustained.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ORTHOSTATIC_ALERT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orthostatic_drop &lt; -20 mmHg (confirmed two readings)</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HYPERTENSION_REVIEW — consider antihypertensive reduction, educate patient on positional changes.</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MASKED_HTN_DETECTED</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bp_pattern = MASKED confirmed over 4+ paired readings</w:t>
            </w:r>
          </w:p>
        </w:tc>
        <w:tc>
          <w:tcPr>
            <w:tcW w:type="dxa" w:w="4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HYPERTENSION_REVIEW — masked HTN flag. Treat based on home readings despite normal clinic values.</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3.4  DEPRESCRIBING_MODE: HTN Extension</w:t>
      </w:r>
    </w:p>
    <w:p>
      <w:pPr>
        <w:spacing w:after="80" w:before="60"/>
      </w:pPr>
      <w:r>
        <w:rPr>
          <w:rFonts w:ascii="Arial" w:cs="Arial" w:eastAsia="Arial" w:hAnsi="Arial"/>
          <w:b w:val="false"/>
          <w:bCs w:val="false"/>
          <w:i w:val="false"/>
          <w:iCs w:val="false"/>
          <w:color w:val="1A1A1A"/>
          <w:sz w:val="20"/>
          <w:szCs w:val="20"/>
        </w:rPr>
        <w:t xml:space="preserve">The DEPRESCRIBING_MODE entry condition already requires 'BP controlled.' With the BPTrajectory struct in place, this becomes precise: bp_status = AT_TARGET for 12+ consecutive weeks. DEPRESCRIBING_MODE for HTN medications should be treated as a separate sub-mode — a patient can be deprescribing diabetes drugs while still in active HTN management, or vice versa.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Condition</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DM DEPRESCRIBING_MODE</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HTN DEPRESCRIBING_MODE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Entry criterion</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HbA1c &lt;7.0% for 12 weeks AND bp_status=AT_TARGET AND eGFR stable</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at target for 16 weeks (longer window — BP more variable than glucose)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behaviour</w:t>
            </w:r>
          </w:p>
        </w:tc>
        <w:tc>
          <w:tcPr>
            <w:tcW w:type="dxa" w:w="348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Reduce insulin dose ceiling, smaller deltas</w:t>
            </w:r>
          </w:p>
        </w:tc>
        <w:tc>
          <w:tcPr>
            <w:tcW w:type="dxa" w:w="348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V-MCU change — no autonomous antihypertensive titration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card type</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DEPRESCRIBING_PROPOSAL (diabetes drugs)</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DEPRESCRIBING_PROPOSAL (antihypertensive drugs) — physician action required</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Exit condition</w:t>
            </w:r>
          </w:p>
        </w:tc>
        <w:tc>
          <w:tcPr>
            <w:tcW w:type="dxa" w:w="348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HbA1c rises &gt;0.5% after step-down</w:t>
            </w:r>
          </w:p>
        </w:tc>
        <w:tc>
          <w:tcPr>
            <w:tcW w:type="dxa" w:w="348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rises &gt;10 mmHg above target after step-down → revert + HYPERTENSION_REVIEW</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Physician SLA</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72h</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72h</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Part 4 — KB-22: HPI Engine Extensions for Hypertension</w:t>
      </w:r>
    </w:p>
    <w:p>
      <w:pPr>
        <w:pStyle w:val="Heading2"/>
        <w:spacing w:after="100" w:before="240"/>
      </w:pPr>
      <w:r>
        <w:rPr>
          <w:rFonts w:ascii="Arial" w:cs="Arial" w:eastAsia="Arial" w:hAnsi="Arial"/>
          <w:b/>
          <w:bCs/>
          <w:i w:val="false"/>
          <w:iCs w:val="false"/>
          <w:color w:val="2E75B6"/>
          <w:sz w:val="26"/>
          <w:szCs w:val="26"/>
        </w:rPr>
        <w:t xml:space="preserve">4.1  New HTN Symptom Nodes in the Question Graph</w:t>
      </w:r>
    </w:p>
    <w:p>
      <w:pPr>
        <w:spacing w:after="80" w:before="60"/>
      </w:pPr>
      <w:r>
        <w:rPr>
          <w:rFonts w:ascii="Arial" w:cs="Arial" w:eastAsia="Arial" w:hAnsi="Arial"/>
          <w:b w:val="false"/>
          <w:bCs w:val="false"/>
          <w:i w:val="false"/>
          <w:iCs w:val="false"/>
          <w:color w:val="1A1A1A"/>
          <w:sz w:val="20"/>
          <w:szCs w:val="20"/>
        </w:rPr>
        <w:t xml:space="preserve">KB-22's differential engine needs HTN-specific symptom nodes. These serve two purposes: detecting hypertensive urgency/emergency (headache + visual disturbance + very high BP) and detecting medication side effects (oedema from CCB, orthostatic symptoms from RAAS blockade + volume depletion).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Symptom Node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Differential It Discriminates</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 Weight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Occipital headache (morning, on waking)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HTN urgency vs migraine vs tension headache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Prior: 0.35 HTN urgency if SBP_SEVERE, 0.08 if AT_TARGET</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Visual disturbance (blurring, flashing lights)</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Hypertensive retinopathy vs hypoglycaemic visual change vs diabetic retinopathy</w:t>
            </w:r>
          </w:p>
        </w:tc>
        <w:tc>
          <w:tcPr>
            <w:tcW w:type="dxa" w:w="4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High discriminating value — visual + severe headache = urgency until proven otherwise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Ankle oedema (bilateral, pitting)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CCB side effect vs heart failure decompensation vs renal fluid retention</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Prior: 0.65 CCB-related if on amlodipine, 0.20 cardiac if eGFR declining</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Dizziness on standing (postural)</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Orthostatic hypotension vs hypoglycaemia vs dehydration (SGLT2i)</w:t>
            </w:r>
          </w:p>
        </w:tc>
        <w:tc>
          <w:tcPr>
            <w:tcW w:type="dxa" w:w="4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High relevance if on RAAS blocker + SGLT2i combination — dual depletion mechanism</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Epistaxis (nosebleed)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Hypertensive urgency vs anticoagulant effect vs dry climate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Prior: 0.45 HTN-related if ABOVE_TARGET, 0.10 if AT_TARGET</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Facial flushing</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CCB side effect (amlodipine) vs anxiety vs menopausal</w:t>
            </w:r>
          </w:p>
        </w:tc>
        <w:tc>
          <w:tcPr>
            <w:tcW w:type="dxa" w:w="4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Flag as likely CCB side effect — not clinically dangerous but affects adherence</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4.2  Beta-Blocker-Aware Question Modification</w:t>
      </w:r>
    </w:p>
    <w:p>
      <w:pPr>
        <w:spacing w:after="80" w:before="60"/>
      </w:pPr>
      <w:r>
        <w:rPr>
          <w:rFonts w:ascii="Arial" w:cs="Arial" w:eastAsia="Arial" w:hAnsi="Arial"/>
          <w:b w:val="false"/>
          <w:bCs w:val="false"/>
          <w:i w:val="false"/>
          <w:iCs w:val="false"/>
          <w:color w:val="1A1A1A"/>
          <w:sz w:val="20"/>
          <w:szCs w:val="20"/>
        </w:rPr>
        <w:t xml:space="preserve">This is the most critical KB-22 change for patient safety. The question selector must check MedicationFact for beta-blocker presence at session start and modify the hypoglycaemia symptom question tree accordingly.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Hypoglycaemia Symptom</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Standard Patient Question</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Beta-Blocker Patient Question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Palpitations / racing heart</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'Have you noticed your heart beating fast or irregularly?'</w:t>
            </w:r>
          </w:p>
        </w:tc>
        <w:tc>
          <w:tcPr>
            <w:tcW w:type="dxa" w:w="3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SUPPRESS — beta-blockers block this symptom. Asking it provides near-zero information gain.</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Tremor / shakiness</w:t>
            </w:r>
          </w:p>
        </w:tc>
        <w:tc>
          <w:tcPr>
            <w:tcW w:type="dxa" w:w="328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'Have you felt shaky or trembling?'</w:t>
            </w:r>
          </w:p>
        </w:tc>
        <w:tc>
          <w:tcPr>
            <w:tcW w:type="dxa" w:w="368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SUPPRESS — beta-blockers attenuate tremor via peripheral β2 blockade.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Diaphoresis (sweating)</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'Have you felt unusually sweaty?'</w:t>
            </w:r>
          </w:p>
        </w:tc>
        <w:tc>
          <w:tcPr>
            <w:tcW w:type="dxa" w:w="3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WEIGHT HIGHER — sweating is the most preserved adrenergic symptom in beta-blocked patients. Ask first.</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Cognitive symptoms</w:t>
            </w:r>
          </w:p>
        </w:tc>
        <w:tc>
          <w:tcPr>
            <w:tcW w:type="dxa" w:w="328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'Have you felt confused, difficulty concentrating?'</w:t>
            </w:r>
          </w:p>
        </w:tc>
        <w:tc>
          <w:tcPr>
            <w:tcW w:type="dxa" w:w="368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WEIGHT HIGHER — neuroglycopaenic symptoms are the first presentation in beta-blocked patients.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Hunger</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'Have you felt suddenly very hungry?'</w:t>
            </w:r>
          </w:p>
        </w:tc>
        <w:tc>
          <w:tcPr>
            <w:tcW w:type="dxa" w:w="3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WEIGHT HIGHER — preserved in beta-blockade.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Headache</w:t>
            </w:r>
          </w:p>
        </w:tc>
        <w:tc>
          <w:tcPr>
            <w:tcW w:type="dxa" w:w="328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'Have you had a headache?'</w:t>
            </w:r>
          </w:p>
        </w:tc>
        <w:tc>
          <w:tcPr>
            <w:tcW w:type="dxa" w:w="368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UNCHANGED — non-adrenergic mechanism.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Perioral numbness</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'Have you felt tingling around your mouth or lips?'</w:t>
            </w:r>
          </w:p>
        </w:tc>
        <w:tc>
          <w:tcPr>
            <w:tcW w:type="dxa" w:w="3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WEIGHT HIGHER — reliable neuroglycopaenic symptom not affected by beta-blockade.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6"/>
              <w:bottom w:val="single" w:color="BF8F00" w:sz="1"/>
              <w:right w:val="single" w:color="BF8F00" w:sz="1"/>
            </w:tcBorders>
            <w:shd w:fill="FFF2CC" w:val="clear"/>
            <w:tcMar>
              <w:top w:type="dxa" w:w="120"/>
              <w:left w:type="dxa" w:w="200"/>
              <w:bottom w:type="dxa" w:w="120"/>
              <w:right w:type="dxa" w:w="160"/>
            </w:tcMar>
          </w:tcPr>
          <w:p>
            <w:pPr>
              <w:spacing w:after="80" w:before="40"/>
            </w:pPr>
            <w:r>
              <w:rPr>
                <w:rFonts w:ascii="Arial" w:cs="Arial" w:eastAsia="Arial" w:hAnsi="Arial"/>
                <w:b/>
                <w:bCs/>
                <w:i w:val="false"/>
                <w:iCs w:val="false"/>
                <w:color w:val="BF8F00"/>
                <w:sz w:val="20"/>
                <w:szCs w:val="20"/>
              </w:rPr>
              <w:t xml:space="preserve">Implementation in KB-22</w:t>
            </w:r>
          </w:p>
          <w:p>
            <w:pPr>
              <w:spacing w:after="32" w:before="32"/>
            </w:pPr>
            <w:r>
              <w:rPr>
                <w:rFonts w:ascii="Arial" w:cs="Arial" w:eastAsia="Arial" w:hAnsi="Arial"/>
                <w:b w:val="false"/>
                <w:bCs w:val="false"/>
                <w:i w:val="false"/>
                <w:iCs w:val="false"/>
                <w:color w:val="1A1A1A"/>
                <w:sz w:val="19"/>
                <w:szCs w:val="19"/>
              </w:rPr>
              <w:t xml:space="preserve">At session_service.go SessionStart(): fetch MedicationFact from FactStore. If beta_blocker_active=true, set session context flag: hypoglycaemia_symptom_mode = BETA_BLOCKED.</w:t>
            </w:r>
          </w:p>
          <w:p>
            <w:pPr>
              <w:spacing w:after="32" w:before="32"/>
            </w:pPr>
            <w:r>
              <w:rPr>
                <w:rFonts w:ascii="Arial" w:cs="Arial" w:eastAsia="Arial" w:hAnsi="Arial"/>
                <w:b w:val="false"/>
                <w:bCs w:val="false"/>
                <w:i w:val="false"/>
                <w:iCs w:val="false"/>
                <w:color w:val="1A1A1A"/>
                <w:sz w:val="19"/>
                <w:szCs w:val="19"/>
              </w:rPr>
              <w:t xml:space="preserve">In question_orchestrator.go: QuestionSelector reads this flag. For nodes in the HYPOGLYCAEMIA_SYMPTOM category, apply the suppression/weight modification table above before entropy calculation.</w:t>
            </w:r>
          </w:p>
          <w:p>
            <w:pPr>
              <w:spacing w:after="32" w:before="32"/>
            </w:pPr>
            <w:r>
              <w:rPr>
                <w:rFonts w:ascii="Arial" w:cs="Arial" w:eastAsia="Arial" w:hAnsi="Arial"/>
                <w:b w:val="false"/>
                <w:bCs w:val="false"/>
                <w:i w:val="false"/>
                <w:iCs w:val="false"/>
                <w:color w:val="1A1A1A"/>
                <w:sz w:val="19"/>
                <w:szCs w:val="19"/>
              </w:rPr>
              <w:t xml:space="preserve">This requires no changes to the YAML question graph — the modification is applied at runtime based on patient medication context. The same question node has different information gain values for different patients.</w:t>
            </w:r>
          </w:p>
          <w:p>
            <w:pPr>
              <w:spacing w:after="32" w:before="32"/>
            </w:pPr>
            <w:r>
              <w:rPr>
                <w:rFonts w:ascii="Arial" w:cs="Arial" w:eastAsia="Arial" w:hAnsi="Arial"/>
                <w:b w:val="false"/>
                <w:bCs w:val="false"/>
                <w:i w:val="false"/>
                <w:iCs w:val="false"/>
                <w:color w:val="1A1A1A"/>
                <w:sz w:val="19"/>
                <w:szCs w:val="19"/>
              </w:rPr>
              <w:t xml:space="preserve">Log the modification in the reasoning chain: 'Beta-blocker active — hypoglycaemia question weights modified. Palpitation/tremor nodes suppressed.'</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4.3  Orthostatic Hypotension as a KB-22 Differential</w:t>
      </w:r>
    </w:p>
    <w:p>
      <w:pPr>
        <w:spacing w:after="80" w:before="60"/>
      </w:pPr>
      <w:r>
        <w:rPr>
          <w:rFonts w:ascii="Arial" w:cs="Arial" w:eastAsia="Arial" w:hAnsi="Arial"/>
          <w:b w:val="false"/>
          <w:bCs w:val="false"/>
          <w:i w:val="false"/>
          <w:iCs w:val="false"/>
          <w:color w:val="1A1A1A"/>
          <w:sz w:val="20"/>
          <w:szCs w:val="20"/>
        </w:rPr>
        <w:t xml:space="preserve">The differential engine already includes orthostatic hypotension. What's missing is the enrichment: KB-22 must pull the orthostatic_drop value from KB-20's BPTrajectory to weight this differential correctly. A patient reporting dizziness on standing with a documented orthostatic_drop of -24 mmHg has a fundamentally different prior for this differential than a patient with normal postural BP.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Evidence Source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It Informs the Differential</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Information Gain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orthostatic_drop from KB-20</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Drop &gt;20 mmHg: strong positive evidence. Drop &lt;10 mmHg: moderately negative evidence.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High — direct measurement vs subjective report</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 active + warm season</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 causes osmotic dehydration. Volume depletion → orthostasis.</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Medium — increases prior for dehydration-mediated orthostasis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ACEi/ARB + diuretic combination</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Dual BP lowering — particularly prone to first-dose orthostasis.</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Medium — medication combination risk factor</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Age &gt;70</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Baroreflex sensitivity declines with age — higher orthostasis prevalence.</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Low-medium — demographic prior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Recent dose increase of antihypertensive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First 2 weeks after dose increase = peak orthostasis risk window.</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High — direct temporal correlation from MedicationFact dispensing timestamp</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Part 5 — KB-23: Decision Card Extensions for Hypertension</w:t>
      </w:r>
    </w:p>
    <w:p>
      <w:pPr>
        <w:pStyle w:val="Heading2"/>
        <w:spacing w:after="100" w:before="240"/>
      </w:pPr>
      <w:r>
        <w:rPr>
          <w:rFonts w:ascii="Arial" w:cs="Arial" w:eastAsia="Arial" w:hAnsi="Arial"/>
          <w:b/>
          <w:bCs/>
          <w:i w:val="false"/>
          <w:iCs w:val="false"/>
          <w:color w:val="2E75B6"/>
          <w:sz w:val="26"/>
          <w:szCs w:val="26"/>
        </w:rPr>
        <w:t xml:space="preserve">5.1  HYPERTENSION_REVIEW Card Type</w:t>
      </w:r>
    </w:p>
    <w:p>
      <w:pPr>
        <w:spacing w:after="80" w:before="60"/>
      </w:pPr>
      <w:r>
        <w:rPr>
          <w:rFonts w:ascii="Arial" w:cs="Arial" w:eastAsia="Arial" w:hAnsi="Arial"/>
          <w:b w:val="false"/>
          <w:bCs w:val="false"/>
          <w:i w:val="false"/>
          <w:iCs w:val="false"/>
          <w:color w:val="1A1A1A"/>
          <w:sz w:val="20"/>
          <w:szCs w:val="20"/>
        </w:rPr>
        <w:t xml:space="preserve">This is a new card type — the sixth alongside TRAJECTORY_REVIEW, MEDICATION_REVIEW, MILESTONE, HPI_REPORT, and DEPRESCRIBING_PROPOSAL. It is triggered by KB-20's BP events, not by KB-22's HPI completion. This is an important distinction: the HYPERTENSION_REVIEW card can be generated without an HPI session — it fires from longitudinal monitoring alone.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Card Subtype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Trigger Event</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MCU_GATE Effect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Physician SLA</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HYPERTENSION_REVIEW (ABOVE_TARGET)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BP_ALERT</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MODIFY — reduce V-MCU titration velocity by 20%</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48h</w:t>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HYPERTENSION_REVIEW (DECLINING)</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BP_ALERT with declining trend</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MODIFY</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24h</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HYPERTENSION_REVIEW (SEVERE)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BP_SEVERE_ALERT</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 — hold all insulin dose increases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4h</w:t>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HYPERTENSION_REVIEW (URGENCY)</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BP_URGENCY_ALERT</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 — stop all titration. V-MCU frozen.</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Immediate — real-time notification, not card SLA</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HYPERTENSION_REVIEW (HYPOTENSIVE)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ORTHOSTATIC_ALERT or bp_status=HYPOTENSIVE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 — hold titration. Consider antihypertensive reduction.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12h</w:t>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HYPERTENSION_REVIEW (MASKED_HTN)</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MASKED_HTN_DETECTED</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gate change — informational</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72h</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5.2  HYPERTENSION_REVIEW Card Structure (CTL Four Panels)</w:t>
      </w:r>
    </w:p>
    <w:p>
      <w:pPr>
        <w:spacing w:after="80" w:before="60"/>
      </w:pPr>
      <w:r>
        <w:rPr>
          <w:rFonts w:ascii="Arial" w:cs="Arial" w:eastAsia="Arial" w:hAnsi="Arial"/>
          <w:b w:val="false"/>
          <w:bCs w:val="false"/>
          <w:i w:val="false"/>
          <w:iCs w:val="false"/>
          <w:color w:val="1A1A1A"/>
          <w:sz w:val="20"/>
          <w:szCs w:val="20"/>
        </w:rPr>
        <w:t xml:space="preserve">The card uses the same four-panel CTL transparency structure as all other KB-23 cards. The panels are populated from different data sources than glycaemic cards.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Panel Mapping for HYPERTENSION_REVIEW</w:t>
            </w:r>
          </w:p>
          <w:p>
            <w:pPr>
              <w:spacing w:after="32" w:before="32"/>
            </w:pPr>
            <w:r>
              <w:rPr>
                <w:rFonts w:ascii="Arial" w:cs="Arial" w:eastAsia="Arial" w:hAnsi="Arial"/>
                <w:b w:val="false"/>
                <w:bCs w:val="false"/>
                <w:i w:val="false"/>
                <w:iCs w:val="false"/>
                <w:color w:val="1A1A1A"/>
                <w:sz w:val="19"/>
                <w:szCs w:val="19"/>
              </w:rPr>
              <w:t xml:space="preserve">Panel 1 — Patient State Snapshot:</w:t>
            </w:r>
          </w:p>
          <w:p>
            <w:pPr>
              <w:spacing w:after="32" w:before="32"/>
            </w:pPr>
            <w:r>
              <w:rPr>
                <w:rFonts w:ascii="Arial" w:cs="Arial" w:eastAsia="Arial" w:hAnsi="Arial"/>
                <w:b w:val="false"/>
                <w:bCs w:val="false"/>
                <w:i w:val="false"/>
                <w:iCs w:val="false"/>
                <w:color w:val="1A1A1A"/>
                <w:sz w:val="19"/>
                <w:szCs w:val="19"/>
              </w:rPr>
              <w:t xml:space="preserve">  SBP 7-day mean, DBP 7-day mean, BP target (from patient stratum), last clinic reading with date,</w:t>
            </w:r>
          </w:p>
          <w:p>
            <w:pPr>
              <w:spacing w:after="32" w:before="32"/>
            </w:pPr>
            <w:r>
              <w:rPr>
                <w:rFonts w:ascii="Arial" w:cs="Arial" w:eastAsia="Arial" w:hAnsi="Arial"/>
                <w:b w:val="false"/>
                <w:bCs w:val="false"/>
                <w:i w:val="false"/>
                <w:iCs w:val="false"/>
                <w:color w:val="1A1A1A"/>
                <w:sz w:val="19"/>
                <w:szCs w:val="19"/>
              </w:rPr>
              <w:t xml:space="preserve">  current antihypertensive regimen, eGFR (renal context for ACEi/ARB safety), K+ (hyperkalaemia risk),</w:t>
            </w:r>
          </w:p>
          <w:p>
            <w:pPr>
              <w:spacing w:after="32" w:before="32"/>
            </w:pPr>
            <w:r>
              <w:rPr>
                <w:rFonts w:ascii="Arial" w:cs="Arial" w:eastAsia="Arial" w:hAnsi="Arial"/>
                <w:b w:val="false"/>
                <w:bCs w:val="false"/>
                <w:i w:val="false"/>
                <w:iCs w:val="false"/>
                <w:color w:val="1A1A1A"/>
                <w:sz w:val="19"/>
                <w:szCs w:val="19"/>
              </w:rPr>
              <w:t xml:space="preserve">  orthostatic_drop if measured, bp_pattern (WHITE_COAT / MASKED / NORMAL).</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Panel 2 — Guideline Logic:</w:t>
            </w:r>
          </w:p>
          <w:p>
            <w:pPr>
              <w:spacing w:after="32" w:before="32"/>
            </w:pPr>
            <w:r>
              <w:rPr>
                <w:rFonts w:ascii="Arial" w:cs="Arial" w:eastAsia="Arial" w:hAnsi="Arial"/>
                <w:b w:val="false"/>
                <w:bCs w:val="false"/>
                <w:i w:val="false"/>
                <w:iCs w:val="false"/>
                <w:color w:val="1A1A1A"/>
                <w:sz w:val="19"/>
                <w:szCs w:val="19"/>
              </w:rPr>
              <w:t xml:space="preserve">  BP target source (RSSDI 2022 / ADA 2024 / KDIGO 2021 — by patient stratum),</w:t>
            </w:r>
          </w:p>
          <w:p>
            <w:pPr>
              <w:spacing w:after="32" w:before="32"/>
            </w:pPr>
            <w:r>
              <w:rPr>
                <w:rFonts w:ascii="Arial" w:cs="Arial" w:eastAsia="Arial" w:hAnsi="Arial"/>
                <w:b w:val="false"/>
                <w:bCs w:val="false"/>
                <w:i w:val="false"/>
                <w:iCs w:val="false"/>
                <w:color w:val="1A1A1A"/>
                <w:sz w:val="19"/>
                <w:szCs w:val="19"/>
              </w:rPr>
              <w:t xml:space="preserve">  which criterion triggered the card (SEVERE / DECLINING / ABOVE_TARGET), criteria status.</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Panel 3 — Safety Checks:</w:t>
            </w:r>
          </w:p>
          <w:p>
            <w:pPr>
              <w:spacing w:after="32" w:before="32"/>
            </w:pPr>
            <w:r>
              <w:rPr>
                <w:rFonts w:ascii="Arial" w:cs="Arial" w:eastAsia="Arial" w:hAnsi="Arial"/>
                <w:b w:val="false"/>
                <w:bCs w:val="false"/>
                <w:i w:val="false"/>
                <w:iCs w:val="false"/>
                <w:color w:val="1A1A1A"/>
                <w:sz w:val="19"/>
                <w:szCs w:val="19"/>
              </w:rPr>
              <w:t xml:space="preserve">  K+ level (ACEi/ARB hyperkalemia risk), eGFR trend (RAAS blocker safety), beta_blocker_active flag,</w:t>
            </w:r>
          </w:p>
          <w:p>
            <w:pPr>
              <w:spacing w:after="32" w:before="32"/>
            </w:pPr>
            <w:r>
              <w:rPr>
                <w:rFonts w:ascii="Arial" w:cs="Arial" w:eastAsia="Arial" w:hAnsi="Arial"/>
                <w:b w:val="false"/>
                <w:bCs w:val="false"/>
                <w:i w:val="false"/>
                <w:iCs w:val="false"/>
                <w:color w:val="1A1A1A"/>
                <w:sz w:val="19"/>
                <w:szCs w:val="19"/>
              </w:rPr>
              <w:t xml:space="preserve">  SGLT2i volume depletion risk (SBP + SGLT2i combination), drug interaction flags from KB-5.</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Panel 4 — Reasoning Trace:</w:t>
            </w:r>
          </w:p>
          <w:p>
            <w:pPr>
              <w:spacing w:after="32" w:before="32"/>
            </w:pPr>
            <w:r>
              <w:rPr>
                <w:rFonts w:ascii="Arial" w:cs="Arial" w:eastAsia="Arial" w:hAnsi="Arial"/>
                <w:b w:val="false"/>
                <w:bCs w:val="false"/>
                <w:i w:val="false"/>
                <w:iCs w:val="false"/>
                <w:color w:val="1A1A1A"/>
                <w:sz w:val="19"/>
                <w:szCs w:val="19"/>
              </w:rPr>
              <w:t xml:space="preserve">  BP reading series with dates and sources, trajectory description, drug context,</w:t>
            </w:r>
          </w:p>
          <w:p>
            <w:pPr>
              <w:spacing w:after="32" w:before="32"/>
            </w:pPr>
            <w:r>
              <w:rPr>
                <w:rFonts w:ascii="Arial" w:cs="Arial" w:eastAsia="Arial" w:hAnsi="Arial"/>
                <w:b w:val="false"/>
                <w:bCs w:val="false"/>
                <w:i w:val="false"/>
                <w:iCs w:val="false"/>
                <w:color w:val="1A1A1A"/>
                <w:sz w:val="19"/>
                <w:szCs w:val="19"/>
              </w:rPr>
              <w:t xml:space="preserve">  proposed action with guideline reference.</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5.3  Antihypertensive DEPRESCRIBING_PROPOSAL</w:t>
      </w:r>
    </w:p>
    <w:p>
      <w:pPr>
        <w:spacing w:after="80" w:before="60"/>
      </w:pPr>
      <w:r>
        <w:rPr>
          <w:rFonts w:ascii="Arial" w:cs="Arial" w:eastAsia="Arial" w:hAnsi="Arial"/>
          <w:b w:val="false"/>
          <w:bCs w:val="false"/>
          <w:i w:val="false"/>
          <w:iCs w:val="false"/>
          <w:color w:val="1A1A1A"/>
          <w:sz w:val="20"/>
          <w:szCs w:val="20"/>
        </w:rPr>
        <w:t xml:space="preserve">The deprescribing hierarchy for antihypertensives is clinically different from diabetes drugs. The ACEi/ARB must be preserved last because it provides renal protection independent of BP lowering — removing it to reduce pill burden trades long-term renal safety for short-term convenience, which is the wrong trade in this population.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43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Order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Drug Class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Deprescribe When</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Rationale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1st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Thiazide diuretic</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at target for 16+ weeks AND no fluid retention signs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Least target-organ protective. High metabolic side effect burden in DM. Remove first.</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2nd</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Calcium channel blocker</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at target after thiazide removal for 8+ weeks AND no ankle oedema</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Effective but no renal or cardiac outcome benefit beyond BP lowering in this population.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3rd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Beta-blocker (if not for cardiac indication)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at target AND no MI / heart failure / arrhythmia</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Remove for DM patients not on beta-blocker for cardiac indication — improves hypoglycaemia symptom awareness.</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4th (careful)</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 or ARB dose reduction</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below target AND eGFR stable AND ACR &lt;30 mg/g for 6 months</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Dose reduce only — do not remove in CKD. Reduce RAAS intensity if BP running low.</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Never remove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 or ARB in CKD + proteinuria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Any BP level</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RAAS blockade provides eGFR-independent renal protection. Removing it in proteinuric DM+CKD accelerates progression regardless of BP control.</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5.4  YAML Template Structure for HTN Cards</w:t>
      </w:r>
    </w:p>
    <w:p>
      <w:pPr>
        <w:spacing w:after="80" w:before="60"/>
      </w:pPr>
      <w:r>
        <w:rPr>
          <w:rFonts w:ascii="Arial" w:cs="Arial" w:eastAsia="Arial" w:hAnsi="Arial"/>
          <w:b w:val="false"/>
          <w:bCs w:val="false"/>
          <w:i w:val="false"/>
          <w:iCs w:val="false"/>
          <w:color w:val="1A1A1A"/>
          <w:sz w:val="20"/>
          <w:szCs w:val="20"/>
        </w:rPr>
        <w:t xml:space="preserve">The four new HTN YAML templates follow the same structure as existing templates but with BP-specific gate rules and recommendations. Template names follow the p-node system from KB-22.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Template File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Trigger Node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Default Gate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Key Recommendations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bp_above_target.yaml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bp_status: ABOVE_TARGET</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MODIFY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Review antihypertensive regimen. Consider dose increase first-line drug. Salt restriction education. Check K+ before ACEi/ARB dose increase.</w:t>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bp_severe.yaml</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bp_status: SEVERE</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Urgent antihypertensive review. Check for end-organ damage symptoms. Secondary hypertension screen if new onset. Hold insulin dose increases.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bp_urgency.yaml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bp_status: URGENCY</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Immediate physician contact. Do not titrate any medication. If symptoms (headache + visual disturbance): consider same-day review.</w:t>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bp_deprescribing.yaml</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bp_status: AT_TARGET x16 weeks</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SAFE</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Antihypertensive step-down proposal. Follow deprescribing hierarchy. Monitor BP weekly after any drug removal. eGFR check 4 weeks post-RAAS reduction.</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Part 6 — Three-Channel Safety Extensions for Hypertension</w:t>
      </w:r>
    </w:p>
    <w:p>
      <w:pPr>
        <w:pStyle w:val="Heading2"/>
        <w:spacing w:after="100" w:before="240"/>
      </w:pPr>
      <w:r>
        <w:rPr>
          <w:rFonts w:ascii="Arial" w:cs="Arial" w:eastAsia="Arial" w:hAnsi="Arial"/>
          <w:b/>
          <w:bCs/>
          <w:i w:val="false"/>
          <w:iCs w:val="false"/>
          <w:color w:val="2E75B6"/>
          <w:sz w:val="26"/>
          <w:szCs w:val="26"/>
        </w:rPr>
        <w:t xml:space="preserve">6.1  Channel B: New Haemodynamic Rules</w:t>
      </w:r>
    </w:p>
    <w:p>
      <w:pPr>
        <w:spacing w:after="80" w:before="60"/>
      </w:pPr>
      <w:r>
        <w:rPr>
          <w:rFonts w:ascii="Arial" w:cs="Arial" w:eastAsia="Arial" w:hAnsi="Arial"/>
          <w:b w:val="false"/>
          <w:bCs w:val="false"/>
          <w:i w:val="false"/>
          <w:iCs w:val="false"/>
          <w:color w:val="1A1A1A"/>
          <w:sz w:val="20"/>
          <w:szCs w:val="20"/>
        </w:rPr>
        <w:t xml:space="preserve">Channel B receives only objective physiological measurements. Subjective symptoms (dizziness, headache) are routed through KB-22 HPI, not Channel B. All new Channel B rules require measurement_context IN [CLINIC, HOME_DEVICE].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51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Rule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Condition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Gate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Rationale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B-08</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&lt; 90 mmHg (any reading)</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Hypotension is cardiovascular instability — absolute contraindication to insulin dose increase regardless of glucose trajectory.</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B-09</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&gt; 180 mmHg (confirmed — 2 readings within 30 minutes)</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5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Hypertensive urgency range. Insulin titration deferred. Physician must review before next cycle. Do not HALT — patient still needs glucose monitoring.</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B-10</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standing minus SBP seated &lt; -20 mmHg (orthostatic drop)</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Clinically significant orthostasis. Adding insulin dose changes during active orthostasis increases fall risk. Defer until antihypertensive is reviewed.</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B-11</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beta_blocker_active = true AND glucose &lt; 4.5 mmol/L</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5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Raised threshold for beta-blocked patients — neuroglycopaenic symptoms occur without adrenergic warning. Standard 3.9 threshold is too late.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B-12</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90-99 mmHg (borderline hypotension, confirmed 2 readings)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Not yet a HALT, but haemodynamically borderline. Defer insulin titration until BP stabilises.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6"/>
              <w:bottom w:val="single" w:color="BF8F00" w:sz="1"/>
              <w:right w:val="single" w:color="BF8F00" w:sz="1"/>
            </w:tcBorders>
            <w:shd w:fill="FFF2CC" w:val="clear"/>
            <w:tcMar>
              <w:top w:type="dxa" w:w="120"/>
              <w:left w:type="dxa" w:w="200"/>
              <w:bottom w:type="dxa" w:w="120"/>
              <w:right w:type="dxa" w:w="160"/>
            </w:tcMar>
          </w:tcPr>
          <w:p>
            <w:pPr>
              <w:spacing w:after="80" w:before="40"/>
            </w:pPr>
            <w:r>
              <w:rPr>
                <w:rFonts w:ascii="Arial" w:cs="Arial" w:eastAsia="Arial" w:hAnsi="Arial"/>
                <w:b/>
                <w:bCs/>
                <w:i w:val="false"/>
                <w:iCs w:val="false"/>
                <w:color w:val="BF8F00"/>
                <w:sz w:val="20"/>
                <w:szCs w:val="20"/>
              </w:rPr>
              <w:t xml:space="preserve">Implementation Note — B-11 and the Import Constraint</w:t>
            </w:r>
          </w:p>
          <w:p>
            <w:pPr>
              <w:spacing w:after="32" w:before="32"/>
            </w:pPr>
            <w:r>
              <w:rPr>
                <w:rFonts w:ascii="Arial" w:cs="Arial" w:eastAsia="Arial" w:hAnsi="Arial"/>
                <w:b w:val="false"/>
                <w:bCs w:val="false"/>
                <w:i w:val="false"/>
                <w:iCs w:val="false"/>
                <w:color w:val="1A1A1A"/>
                <w:sz w:val="19"/>
                <w:szCs w:val="19"/>
              </w:rPr>
              <w:t xml:space="preserve">B-11 requires beta_blocker_active context in RawInputs. As discussed in Part 1.2, this field is set by the V-MCU orchestrator from FactStore MedicationFact before calling Channel B.</w:t>
            </w:r>
          </w:p>
          <w:p>
            <w:pPr>
              <w:spacing w:after="32" w:before="32"/>
            </w:pPr>
            <w:r>
              <w:rPr>
                <w:rFonts w:ascii="Arial" w:cs="Arial" w:eastAsia="Arial" w:hAnsi="Arial"/>
                <w:b w:val="false"/>
                <w:bCs w:val="false"/>
                <w:i w:val="false"/>
                <w:iCs w:val="false"/>
                <w:color w:val="1A1A1A"/>
                <w:sz w:val="19"/>
                <w:szCs w:val="19"/>
              </w:rPr>
              <w:t xml:space="preserve">The orchestrator addition to vmcu_engine.go RunCycle():</w:t>
            </w:r>
          </w:p>
          <w:p>
            <w:pPr>
              <w:spacing w:after="32" w:before="32"/>
            </w:pPr>
            <w:r>
              <w:rPr>
                <w:rFonts w:ascii="Arial" w:cs="Arial" w:eastAsia="Arial" w:hAnsi="Arial"/>
                <w:b w:val="false"/>
                <w:bCs w:val="false"/>
                <w:i w:val="false"/>
                <w:iCs w:val="false"/>
                <w:color w:val="1A1A1A"/>
                <w:sz w:val="19"/>
                <w:szCs w:val="19"/>
              </w:rPr>
              <w:t xml:space="preserve">  rawInputs.BetaBlockerActive = factstore.GetMedicationFact(patientID).BetaBlockerActive</w:t>
            </w:r>
          </w:p>
          <w:p>
            <w:pPr>
              <w:spacing w:after="32" w:before="32"/>
            </w:pPr>
            <w:r>
              <w:rPr>
                <w:rFonts w:ascii="Arial" w:cs="Arial" w:eastAsia="Arial" w:hAnsi="Arial"/>
                <w:b w:val="false"/>
                <w:bCs w:val="false"/>
                <w:i w:val="false"/>
                <w:iCs w:val="false"/>
                <w:color w:val="1A1A1A"/>
                <w:sz w:val="19"/>
                <w:szCs w:val="19"/>
              </w:rPr>
              <w:t xml:space="preserve">Channel B does not import MedicationFact. It reads one boolean from RawInputs. Import isolation is preserved.</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6.2  Channel C: New Protocol Guard Rules (PG-08 through PG-13)</w:t>
      </w:r>
    </w:p>
    <w:p>
      <w:pPr>
        <w:spacing w:after="80" w:before="60"/>
      </w:pPr>
      <w:r>
        <w:rPr>
          <w:rFonts w:ascii="Arial" w:cs="Arial" w:eastAsia="Arial" w:hAnsi="Arial"/>
          <w:b w:val="false"/>
          <w:bCs w:val="false"/>
          <w:i w:val="false"/>
          <w:iCs w:val="false"/>
          <w:color w:val="1A1A1A"/>
          <w:sz w:val="20"/>
          <w:szCs w:val="20"/>
        </w:rPr>
        <w:t xml:space="preserve">Channel C's YAML-driven protocol rules expand to cover antihypertensive-specific safety constraints. These follow the same pattern as PG-01 through PG-07 — field evaluators compiled at startup, SHA-256 hash for integrity.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200"/>
        <w:gridCol w:w="45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Rule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Condition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Gate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Basis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PG-08</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 or ARB active AND K+ &gt; 5.5 mmol/L AND eGFR_slope &lt; -1 mL/min/month</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Triple-threat hyperkalemia: RAAS drug + elevated K+ + declining renal function. Do not titrate any medication until K+ and RAAS reviewed.</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PG-09</w:t>
            </w:r>
          </w:p>
        </w:tc>
        <w:tc>
          <w:tcPr>
            <w:tcW w:type="dxa" w:w="3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beta_blocker_active AND insulin_class_active (any)</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MODIFY + SAFETY_INSTRUCTION</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Mandatory educator alert: hypoglycaemia symptom masking. Safety instruction cannot be suppressed by confidence tier.</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PG-10</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 active AND SBP_7d_mean &lt; 105 mmHg</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SGLT2i-mediated volume depletion causing borderline hypotension. Suspend insulin titration — SGLT2i may need dose review.</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PG-11</w:t>
            </w:r>
          </w:p>
        </w:tc>
        <w:tc>
          <w:tcPr>
            <w:tcW w:type="dxa" w:w="3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Thiazide diuretic active AND K+ &lt; 3.5 mmol/L</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Thiazide-induced hypokalaemia. Titration deferred — hypokalaemia increases insulin resistance AND arrhythmia risk.</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PG-12</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 AND ARB both active (dual RAAS blockade)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 + SAFETY_INSTRUCTION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Dual RAAS blockade is contraindicated. ONTARGET trial: increased AKI and hyperkalaemia with no added benefit. Alert physician immediately.</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PG-13</w:t>
            </w:r>
          </w:p>
        </w:tc>
        <w:tc>
          <w:tcPr>
            <w:tcW w:type="dxa" w:w="3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High-dose HCTZ (&gt;25mg) active</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MODIFY + SAFETY_INSTRUCTION</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HCTZ &gt;25mg worsens insulin resistance. Alert physician: consider switching to indapamide or low-dose HCTZ.</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6.3  Updated Protocol Rules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Rule Set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Count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Rules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Original Channel C (PG-01 to PG-07)</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eGFR+metformin, eGFR+SGLT2i, AKI, hypo+insulin, dose delta, no improvement, recent hypo+increase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New HTN rules (PG-08 to PG-13)</w:t>
            </w:r>
          </w:p>
        </w:tc>
        <w:tc>
          <w:tcPr>
            <w:tcW w:type="dxa" w:w="1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6</w:t>
            </w:r>
          </w:p>
        </w:tc>
        <w:tc>
          <w:tcPr>
            <w:tcW w:type="dxa" w:w="5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ACEi/ARB+K++eGFR, beta-blocker+insulin, SGLT2i+SBP, thiazide+K+, dual RAAS, high-dose HCTZ</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Total Channel C rules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13</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Full cardiometabolic protocol guard coverage</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Part 7 — The SGLT2i Dual-Action Problem</w:t>
      </w:r>
    </w:p>
    <w:p>
      <w:pPr>
        <w:spacing w:after="80" w:before="60"/>
      </w:pPr>
      <w:r>
        <w:rPr>
          <w:rFonts w:ascii="Arial" w:cs="Arial" w:eastAsia="Arial" w:hAnsi="Arial"/>
          <w:b w:val="false"/>
          <w:bCs w:val="false"/>
          <w:i w:val="false"/>
          <w:iCs w:val="false"/>
          <w:color w:val="1A1A1A"/>
          <w:sz w:val="20"/>
          <w:szCs w:val="20"/>
        </w:rPr>
        <w:t xml:space="preserve">This is the most architecturally complex drug in the DM+HTN+CKD patient. SGLT2 inhibitors (empagliflozin, dapagliflozin, canagliflozin) simultaneously act as: antidiabetic agent (HbA1c -0.5 to -1.0%), antihypertensive (SBP -3 to -5 mmHg via osmotic diuresis), renal-protective agent (reduces proteinuria, slows eGFR decline independently of glucose or BP effect), and weight-loss agent (~2-3 kg). Any architecture that treats SGLT2i as a single-purpose antidiabetic drug will make clinically wrong decisions.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00" w:sz="1"/>
              <w:left w:val="single" w:color="C05000" w:sz="16"/>
              <w:bottom w:val="single" w:color="C05000" w:sz="1"/>
              <w:right w:val="single" w:color="C05000" w:sz="1"/>
            </w:tcBorders>
            <w:shd w:fill="FFF8F0" w:val="clear"/>
            <w:tcMar>
              <w:top w:type="dxa" w:w="120"/>
              <w:left w:type="dxa" w:w="200"/>
              <w:bottom w:type="dxa" w:w="120"/>
              <w:right w:type="dxa" w:w="160"/>
            </w:tcMar>
          </w:tcPr>
          <w:p>
            <w:pPr>
              <w:spacing w:after="80" w:before="40"/>
            </w:pPr>
            <w:r>
              <w:rPr>
                <w:rFonts w:ascii="Arial" w:cs="Arial" w:eastAsia="Arial" w:hAnsi="Arial"/>
                <w:b/>
                <w:bCs/>
                <w:i w:val="false"/>
                <w:iCs w:val="false"/>
                <w:color w:val="C05000"/>
                <w:sz w:val="20"/>
                <w:szCs w:val="20"/>
              </w:rPr>
              <w:t xml:space="preserve">The Three Simultaneous Effects and Their Architectural Implications</w:t>
            </w:r>
          </w:p>
          <w:p>
            <w:pPr>
              <w:spacing w:after="32" w:before="32"/>
            </w:pPr>
            <w:r>
              <w:rPr>
                <w:rFonts w:ascii="Arial" w:cs="Arial" w:eastAsia="Arial" w:hAnsi="Arial"/>
                <w:b w:val="false"/>
                <w:bCs w:val="false"/>
                <w:i w:val="false"/>
                <w:iCs w:val="false"/>
                <w:color w:val="1A1A1A"/>
                <w:sz w:val="19"/>
                <w:szCs w:val="19"/>
              </w:rPr>
              <w:t xml:space="preserve">1. ANTIDIABETIC EFFECT → relevant to KB-22 differential weighting, KB-20 HbA1c trajectory, V-MCU gain factor</w:t>
            </w:r>
          </w:p>
          <w:p>
            <w:pPr>
              <w:spacing w:after="32" w:before="32"/>
            </w:pPr>
            <w:r>
              <w:rPr>
                <w:rFonts w:ascii="Arial" w:cs="Arial" w:eastAsia="Arial" w:hAnsi="Arial"/>
                <w:b w:val="false"/>
                <w:bCs w:val="false"/>
                <w:i w:val="false"/>
                <w:iCs w:val="false"/>
                <w:color w:val="1A1A1A"/>
                <w:sz w:val="19"/>
                <w:szCs w:val="19"/>
              </w:rPr>
              <w:t xml:space="preserve">   When SGLT2i is added, expect HbA1c to fall 0.5-1.0% over 8-12 weeks. This is a legitimate medication effect, not a correction loop success. AG-01 TreatmentPerturbation must track SGLT2i addition as a perturbation window.</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2. ANTIHYPERTENSIVE EFFECT → relevant to KB-20 BP trajectory, HYPERTENSION_REVIEW card logic</w:t>
            </w:r>
          </w:p>
          <w:p>
            <w:pPr>
              <w:spacing w:after="32" w:before="32"/>
            </w:pPr>
            <w:r>
              <w:rPr>
                <w:rFonts w:ascii="Arial" w:cs="Arial" w:eastAsia="Arial" w:hAnsi="Arial"/>
                <w:b w:val="false"/>
                <w:bCs w:val="false"/>
                <w:i w:val="false"/>
                <w:iCs w:val="false"/>
                <w:color w:val="1A1A1A"/>
                <w:sz w:val="19"/>
                <w:szCs w:val="19"/>
              </w:rPr>
              <w:t xml:space="preserve">   When SGLT2i is added, expect SBP to fall 3-5 mmHg. If BP was borderline above target, SGLT2i addition may bring it to AT_TARGET. DEPRESCRIBING_PROPOSAL should account for this — removing SGLT2i for a non-renal reason will likely cause BP to rise 3-5 mmHg.</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3. RENAL-PROTECTIVE EFFECT → relevant to Channel C PG-02, KB-20 eGFR trajectory, DEPRESCRIBING_MODE</w:t>
            </w:r>
          </w:p>
          <w:p>
            <w:pPr>
              <w:spacing w:after="32" w:before="32"/>
            </w:pPr>
            <w:r>
              <w:rPr>
                <w:rFonts w:ascii="Arial" w:cs="Arial" w:eastAsia="Arial" w:hAnsi="Arial"/>
                <w:b w:val="false"/>
                <w:bCs w:val="false"/>
                <w:i w:val="false"/>
                <w:iCs w:val="false"/>
                <w:color w:val="1A1A1A"/>
                <w:sz w:val="19"/>
                <w:szCs w:val="19"/>
              </w:rPr>
              <w:t xml:space="preserve">   SGLT2i slows eGFR decline by 30-40% in DM+CKD. The system should NEVER propose SGLT2i deprescribing in a patient with eGFR 30-60 and proteinuria purely because another antidiabetic is sufficient — the renal benefit persists even if glycaemic control is adequate without it.</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7.1  SGLT2i in the DEPRESCRIBING_PROPOSAL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Scenario</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Current Architecture Behaviour</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Correct Behaviour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HbA1c &lt;7% for 12 weeks, patient on SGLT2i + metformin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System considers SGLT2i for deprescribing (it's a diabetes drug)</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BLOCK SGLT2i deprescribing if eGFR &lt;60 OR ACR &gt;30. Renal benefit outweighs deprescribing benefit.</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eGFR drops to 40 while on SGLT2i</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C PG-02 fires (SGLT2i + eGFR &lt;45 → PAUSE)</w:t>
            </w:r>
          </w:p>
        </w:tc>
        <w:tc>
          <w:tcPr>
            <w:tcW w:type="dxa" w:w="4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Correct: Channel C fires. But KB-23 card should explain: pausing SGLT2i may accelerate eGFR decline. Consider switching to lower dose rather than stopping.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Patient on SGLT2i + antihypertensive, BP now at target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System does not connect SGLT2i's BP-lowering effect to target achievement</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should flag: SGLT2i contributes estimated 3-5 mmHg to BP control. If SGLT2i is stopped, expect BP to rise. Adjust antihypertensive accordingly.</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above target, SGLT2i not yet prescribed</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Standard HYPERTENSION_REVIEW card</w:t>
            </w:r>
          </w:p>
        </w:tc>
        <w:tc>
          <w:tcPr>
            <w:tcW w:type="dxa" w:w="4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If HbA1c above target AND BP above target AND eGFR &gt;45: SGLT2i is a dual-benefit option. Flag this in the HYPERTENSION_REVIEW card's recommendation section.</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Part 8 — V-MCU: How BP Status Modifies Insulin Titration</w:t>
      </w:r>
    </w:p>
    <w:p>
      <w:pPr>
        <w:pStyle w:val="Heading2"/>
        <w:spacing w:after="100" w:before="240"/>
      </w:pPr>
      <w:r>
        <w:rPr>
          <w:rFonts w:ascii="Arial" w:cs="Arial" w:eastAsia="Arial" w:hAnsi="Arial"/>
          <w:b/>
          <w:bCs/>
          <w:i w:val="false"/>
          <w:iCs w:val="false"/>
          <w:color w:val="2E75B6"/>
          <w:sz w:val="26"/>
          <w:szCs w:val="26"/>
        </w:rPr>
        <w:t xml:space="preserve">8.1  The Critical Design Constraint</w:t>
      </w:r>
    </w:p>
    <w:p>
      <w:pPr>
        <w:spacing w:after="80" w:before="60"/>
      </w:pPr>
      <w:r>
        <w:rPr>
          <w:rFonts w:ascii="Arial" w:cs="Arial" w:eastAsia="Arial" w:hAnsi="Arial"/>
          <w:b w:val="false"/>
          <w:bCs w:val="false"/>
          <w:i w:val="false"/>
          <w:iCs w:val="false"/>
          <w:color w:val="1A1A1A"/>
          <w:sz w:val="20"/>
          <w:szCs w:val="20"/>
        </w:rPr>
        <w:t xml:space="preserve">V-MCU must not titrate antihypertensives autonomously in v1. This is absolute. The reason is mathematical: two coupled control loops sharing safety gates can exhibit instability if the loops interact nonlinearly. Glucose and BP are not independent — improved glycaemic control improves insulin sensitivity, which reduces vascular resistance, which lowers BP, which then triggers Channel B rules, which halts glucose titration. This bidirectional coupling requires careful decoupling analysis before autonomous BP control can be introduced.</w:t>
      </w:r>
    </w:p>
    <w:p>
      <w:pPr>
        <w:spacing w:after="0" w:before="80"/>
      </w:pPr>
    </w:p>
    <w:p>
      <w:pPr>
        <w:spacing w:after="80" w:before="60"/>
      </w:pPr>
      <w:r>
        <w:rPr>
          <w:rFonts w:ascii="Arial" w:cs="Arial" w:eastAsia="Arial" w:hAnsi="Arial"/>
          <w:b w:val="false"/>
          <w:bCs w:val="false"/>
          <w:i w:val="false"/>
          <w:iCs w:val="false"/>
          <w:color w:val="1A1A1A"/>
          <w:sz w:val="20"/>
          <w:szCs w:val="20"/>
        </w:rPr>
        <w:t xml:space="preserve">However, BP status is not irrelevant to insulin titration. It modifies how aggressively insulin should be titrated, through five well-defined interactions: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BP Condition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Effect on Insulin Titration</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Mechanism</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bp_status = SEVERE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titration velocity reduced by 30%</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Cardiovascular stress during severe hypertension — aggressive insulin titration adds metabolic stress. Conservative titration until BP controlled.</w:t>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bp_status = HYPOTENSIVE</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PAUSE — hold all dose increases</w:t>
            </w:r>
          </w:p>
        </w:tc>
        <w:tc>
          <w:tcPr>
            <w:tcW w:type="dxa" w:w="4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Hypotension + insulin-induced glucose lowering can compound into dangerous haemodynamic instability.</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bp_status = URGENCY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HALT — same as Channel B HALT</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Hypertensive urgency is a clinical emergency. All titration stops.</w:t>
            </w:r>
          </w:p>
        </w:tc>
      </w:tr>
      <w:tr>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orthostatic_drop &lt; -20 mmHg</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PAUSE on dose INCREASES only (dose decreases allowed)</w:t>
            </w:r>
          </w:p>
        </w:tc>
        <w:tc>
          <w:tcPr>
            <w:tcW w:type="dxa" w:w="4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Orthostasis + insulin-driven glucose change + volume depletion = fall risk. Hold escalation, maintain current dose.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beta_blocker_active + gain_factor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gain_factor floor raised to 0.50 regardless of adherence</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Beta-blocked patients cannot self-detect early hypoglycaemia. More conservative titration is mandatory regardless of adherence score.</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8.2  Channel A Gate Modification for HTN States</w:t>
      </w:r>
    </w:p>
    <w:p>
      <w:pPr>
        <w:spacing w:after="80" w:before="60"/>
      </w:pPr>
      <w:r>
        <w:rPr>
          <w:rFonts w:ascii="Arial" w:cs="Arial" w:eastAsia="Arial" w:hAnsi="Arial"/>
          <w:b w:val="false"/>
          <w:bCs w:val="false"/>
          <w:i w:val="false"/>
          <w:iCs w:val="false"/>
          <w:color w:val="1A1A1A"/>
          <w:sz w:val="20"/>
          <w:szCs w:val="20"/>
        </w:rPr>
        <w:t xml:space="preserve">KB-23 must generate a modified MCU_GATE when BP_SEVERE_ALERT or BP_URGENCY_ALERT is the triggering event, even without a concurrent KB-22 HPI session. This means the HYPERTENSION_REVIEW card carries its own MCU_GATE signal — an important architectural extension.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HYPERTENSION_REVIEW Card MCU_GATE Rules</w:t>
            </w:r>
          </w:p>
          <w:p>
            <w:pPr>
              <w:spacing w:after="32" w:before="32"/>
            </w:pPr>
            <w:r>
              <w:rPr>
                <w:rFonts w:ascii="Arial" w:cs="Arial" w:eastAsia="Arial" w:hAnsi="Arial"/>
                <w:b w:val="false"/>
                <w:bCs w:val="false"/>
                <w:i w:val="false"/>
                <w:iCs w:val="false"/>
                <w:color w:val="1A1A1A"/>
                <w:sz w:val="19"/>
                <w:szCs w:val="19"/>
              </w:rPr>
              <w:t xml:space="preserve">URGENCY → MCU_GATE = HALT (same severity as active hypoglycaemia)</w:t>
            </w:r>
          </w:p>
          <w:p>
            <w:pPr>
              <w:spacing w:after="32" w:before="32"/>
            </w:pPr>
            <w:r>
              <w:rPr>
                <w:rFonts w:ascii="Arial" w:cs="Arial" w:eastAsia="Arial" w:hAnsi="Arial"/>
                <w:b w:val="false"/>
                <w:bCs w:val="false"/>
                <w:i w:val="false"/>
                <w:iCs w:val="false"/>
                <w:color w:val="1A1A1A"/>
                <w:sz w:val="19"/>
                <w:szCs w:val="19"/>
              </w:rPr>
              <w:t xml:space="preserve">SEVERE → MCU_GATE = PAUSE (same severity as acute illness)</w:t>
            </w:r>
          </w:p>
          <w:p>
            <w:pPr>
              <w:spacing w:after="32" w:before="32"/>
            </w:pPr>
            <w:r>
              <w:rPr>
                <w:rFonts w:ascii="Arial" w:cs="Arial" w:eastAsia="Arial" w:hAnsi="Arial"/>
                <w:b w:val="false"/>
                <w:bCs w:val="false"/>
                <w:i w:val="false"/>
                <w:iCs w:val="false"/>
                <w:color w:val="1A1A1A"/>
                <w:sz w:val="19"/>
                <w:szCs w:val="19"/>
              </w:rPr>
              <w:t xml:space="preserve">ABOVE_TARGET or DECLINING → MCU_GATE = MODIFY (reduce titration velocity)</w:t>
            </w:r>
          </w:p>
          <w:p>
            <w:pPr>
              <w:spacing w:after="32" w:before="32"/>
            </w:pPr>
            <w:r>
              <w:rPr>
                <w:rFonts w:ascii="Arial" w:cs="Arial" w:eastAsia="Arial" w:hAnsi="Arial"/>
                <w:b w:val="false"/>
                <w:bCs w:val="false"/>
                <w:i w:val="false"/>
                <w:iCs w:val="false"/>
                <w:color w:val="1A1A1A"/>
                <w:sz w:val="19"/>
                <w:szCs w:val="19"/>
              </w:rPr>
              <w:t xml:space="preserve">HYPOTENSIVE → MCU_GATE = PAUSE</w:t>
            </w:r>
          </w:p>
          <w:p>
            <w:pPr>
              <w:spacing w:after="32" w:before="32"/>
            </w:pPr>
            <w:r>
              <w:rPr>
                <w:rFonts w:ascii="Arial" w:cs="Arial" w:eastAsia="Arial" w:hAnsi="Arial"/>
                <w:b w:val="false"/>
                <w:bCs w:val="false"/>
                <w:i w:val="false"/>
                <w:iCs w:val="false"/>
                <w:color w:val="1A1A1A"/>
                <w:sz w:val="19"/>
                <w:szCs w:val="19"/>
              </w:rPr>
              <w:t xml:space="preserve">AT_TARGET (after ABOVE_TARGET) → MCU_GATE = SAFE (resume normal titration)</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These gates flow through the same Channel A → Arbiter → V-MCU path as all other MCU_GATE signals.</w:t>
            </w:r>
          </w:p>
          <w:p>
            <w:pPr>
              <w:spacing w:after="32" w:before="32"/>
            </w:pPr>
            <w:r>
              <w:rPr>
                <w:rFonts w:ascii="Arial" w:cs="Arial" w:eastAsia="Arial" w:hAnsi="Arial"/>
                <w:b w:val="false"/>
                <w:bCs w:val="false"/>
                <w:i w:val="false"/>
                <w:iCs w:val="false"/>
                <w:color w:val="1A1A1A"/>
                <w:sz w:val="19"/>
                <w:szCs w:val="19"/>
              </w:rPr>
              <w:t xml:space="preserve">The Hysteresis Engine (N-01) applies: a PAUSE from SEVERE requires 2+ sessions + 72h of AT_TARGET before downgrading to SAFE.</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Part 9 — New Simulation Scenarios for HTN Integration</w:t>
      </w:r>
    </w:p>
    <w:p>
      <w:pPr>
        <w:spacing w:after="80" w:before="60"/>
      </w:pPr>
      <w:r>
        <w:rPr>
          <w:rFonts w:ascii="Arial" w:cs="Arial" w:eastAsia="Arial" w:hAnsi="Arial"/>
          <w:b w:val="false"/>
          <w:bCs w:val="false"/>
          <w:i w:val="false"/>
          <w:iCs w:val="false"/>
          <w:color w:val="1A1A1A"/>
          <w:sz w:val="20"/>
          <w:szCs w:val="20"/>
        </w:rPr>
        <w:t xml:space="preserve">Two scenarios were proposed in Document 7. Six are needed for adequate coverage of the HTN integration, including the beta-blocker edge case and the SGLT2i dual-action scenario.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Scenario</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Expected System Behaviour</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Pass Criterion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rising trend over 4 weeks (SBP 128→138→148→156), glucose stable at target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classifies DECLINING, emits BP_ALERT. KB-23 HYPERTENSION_REVIEW MODIFY card. V-MCU velocity reduced 20%.</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Card generated within 1 cycle. MCU_GATE = MODIFY. V-MCU dose delta reduced.</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Hypertensive urgency (SBP 188 on clinic reading)</w:t>
            </w:r>
          </w:p>
        </w:tc>
        <w:tc>
          <w:tcPr>
            <w:tcW w:type="dxa" w:w="3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B B-09 fires (PAUSE). KB-20 emits BP_URGENCY_ALERT. KB-23 HALT card. V-MCU frozen.</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 within 1 cycle. Real-time physician notification. SafetyTrace records dominant channel.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Beta-blocker patient, glucose drops to 4.2 mmol/L</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B-11 fires (HALT — raised threshold for beta-blocked patient). KB-23 HALT. KB-22 next HPI session uses beta-blocker symptom modification.</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B HALT at 4.2 (not 3.9). KB-22 session suppresses palpitation questions, weights diaphoresis higher.</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 stopped (eGFR hits 44), BP rises 5 mmHg above target</w:t>
            </w:r>
          </w:p>
        </w:tc>
        <w:tc>
          <w:tcPr>
            <w:tcW w:type="dxa" w:w="3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C PG-02 fires PAUSE for SGLT2i. KB-20 detects BP rise. KB-23 generates HYPERTENSION_REVIEW noting SGLT2i removal as likely cause.</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PG-02 fires. HYPERTENSION_REVIEW card notes SGLT2i contribution to prior BP control. Antihypertensive review recommended.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Patient on ACEi + ARB simultaneously (dual RAAS)</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C PG-12 fires HALT + SAFETY_INSTRUCTION. KB-23 generates urgent MEDICATION_REVIEW.</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Immediate HALT. Safety instruction mandatory in card. Physician must remove one agent before titration resumes.</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Orthostatic drop -24 mmHg confirmed (2 readings)</w:t>
            </w:r>
          </w:p>
        </w:tc>
        <w:tc>
          <w:tcPr>
            <w:tcW w:type="dxa" w:w="3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B B-10 fires PAUSE. KB-20 emits ORTHOSTATIC_ALERT. KB-23 HYPERTENSION_REVIEW (HYPOTENSIVE). V-MCU holds dose increases.</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 within 1 cycle of second orthostatic reading. Antihypertensive dose reduction proposed. V-MCU holds escalation only.</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Part 10 — Three-Stage Roadmap to Full Cardiometabolic Control</w:t>
      </w:r>
    </w:p>
    <w:p>
      <w:pPr>
        <w:pStyle w:val="Heading2"/>
        <w:spacing w:after="100" w:before="240"/>
      </w:pPr>
      <w:r>
        <w:rPr>
          <w:rFonts w:ascii="Arial" w:cs="Arial" w:eastAsia="Arial" w:hAnsi="Arial"/>
          <w:b/>
          <w:bCs/>
          <w:i w:val="false"/>
          <w:iCs w:val="false"/>
          <w:color w:val="2E75B6"/>
          <w:sz w:val="26"/>
          <w:szCs w:val="26"/>
        </w:rPr>
        <w:t xml:space="preserve">10.1  Stage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Stage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Description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V-MCU Role</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HTN Management</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v1 (current target)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Diabetes correction loop + HTN trajectory intelligence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Insulin titration only</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Monitor BP trajectory. Physician manages all antihypertensive changes via HYPERTENSION_REVIEW cards.</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v2</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Dual correction loop — glucose + BP, physician-in-loop for both</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Insulin titration + antihypertensive dose suggestion (physician approves all changes)</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generates antihypertensive dose proposals. V-MCU can suggest but not execute antihypertensive changes without explicit physician approval.</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v3</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Autonomous cardiometabolic control within approved protocol envelopes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Coupled optimisation within safety-enforced bounds</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autonomously adjusts both insulin and antihypertensive doses within pre-approved envelopes. Safety Arbiter upgraded to handle cross-loop vetoes.</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10.2  Why v2 Cannot Be Rushed</w:t>
      </w:r>
    </w:p>
    <w:p>
      <w:pPr>
        <w:spacing w:after="80" w:before="60"/>
      </w:pPr>
      <w:r>
        <w:rPr>
          <w:rFonts w:ascii="Arial" w:cs="Arial" w:eastAsia="Arial" w:hAnsi="Arial"/>
          <w:b w:val="false"/>
          <w:bCs w:val="false"/>
          <w:i w:val="false"/>
          <w:iCs w:val="false"/>
          <w:color w:val="1A1A1A"/>
          <w:sz w:val="20"/>
          <w:szCs w:val="20"/>
        </w:rPr>
        <w:t xml:space="preserve">The transition from v1 to v2 requires solving the coupled control loop stability problem. When V-MCU titrates both insulin and antihypertensives, the two loops interact:</w:t>
      </w:r>
    </w:p>
    <w:p>
      <w:pPr>
        <w:spacing w:after="0" w:before="80"/>
      </w:pPr>
    </w:p>
    <w:p>
      <w:pPr>
        <w:pStyle w:val="ListParagraph"/>
        <w:numPr>
          <w:ilvl w:val="0"/>
          <w:numId w:val="2"/>
        </w:numPr>
        <w:spacing w:after="52" w:before="40"/>
      </w:pPr>
      <w:r>
        <w:rPr>
          <w:rFonts w:ascii="Arial" w:cs="Arial" w:eastAsia="Arial" w:hAnsi="Arial"/>
          <w:b w:val="false"/>
          <w:bCs w:val="false"/>
          <w:i w:val="false"/>
          <w:iCs w:val="false"/>
          <w:color w:val="1A1A1A"/>
          <w:sz w:val="20"/>
          <w:szCs w:val="20"/>
        </w:rPr>
        <w:t xml:space="preserve">Improved glycaemic control → reduced insulin resistance → improved endothelial function → BP falls → Channel B PAUSE on insulin titration</w:t>
      </w:r>
    </w:p>
    <w:p>
      <w:pPr>
        <w:pStyle w:val="ListParagraph"/>
        <w:numPr>
          <w:ilvl w:val="0"/>
          <w:numId w:val="2"/>
        </w:numPr>
        <w:spacing w:after="52" w:before="40"/>
      </w:pPr>
      <w:r>
        <w:rPr>
          <w:rFonts w:ascii="Arial" w:cs="Arial" w:eastAsia="Arial" w:hAnsi="Arial"/>
          <w:b w:val="false"/>
          <w:bCs w:val="false"/>
          <w:i w:val="false"/>
          <w:iCs w:val="false"/>
          <w:color w:val="1A1A1A"/>
          <w:sz w:val="20"/>
          <w:szCs w:val="20"/>
        </w:rPr>
        <w:t xml:space="preserve">Antihypertensive dose increase → reduced renal perfusion pressure → eGFR dip → Channel B HOLD_DATA → insulin titration deferred</w:t>
      </w:r>
    </w:p>
    <w:p>
      <w:pPr>
        <w:pStyle w:val="ListParagraph"/>
        <w:numPr>
          <w:ilvl w:val="0"/>
          <w:numId w:val="2"/>
        </w:numPr>
        <w:spacing w:after="52" w:before="40"/>
      </w:pPr>
      <w:r>
        <w:rPr>
          <w:rFonts w:ascii="Arial" w:cs="Arial" w:eastAsia="Arial" w:hAnsi="Arial"/>
          <w:b w:val="false"/>
          <w:bCs w:val="false"/>
          <w:i w:val="false"/>
          <w:iCs w:val="false"/>
          <w:color w:val="1A1A1A"/>
          <w:sz w:val="20"/>
          <w:szCs w:val="20"/>
        </w:rPr>
        <w:t xml:space="preserve">SGLT2i dose reduction (due to eGFR) → BP rises 4 mmHg → BP_ALERT → HYPERTENSION_REVIEW → physician considers antihypertensive dose increase → loop re-entry</w:t>
      </w:r>
    </w:p>
    <w:p>
      <w:pPr>
        <w:spacing w:after="0" w:before="80"/>
      </w:pPr>
    </w:p>
    <w:p>
      <w:pPr>
        <w:spacing w:after="80" w:before="60"/>
      </w:pPr>
      <w:r>
        <w:rPr>
          <w:rFonts w:ascii="Arial" w:cs="Arial" w:eastAsia="Arial" w:hAnsi="Arial"/>
          <w:b w:val="false"/>
          <w:bCs w:val="false"/>
          <w:i w:val="false"/>
          <w:iCs w:val="false"/>
          <w:color w:val="1A1A1A"/>
          <w:sz w:val="20"/>
          <w:szCs w:val="20"/>
        </w:rPr>
        <w:t xml:space="preserve">None of these are pathological loops — but they require the Safety Arbiter to understand cross-loop causality to avoid over-reacting. A creatinine dip 3 days after an antihypertensive increase is expected physiology, not AKI. The Safety Arbiter in v1 cannot distinguish these. v2 requires a causality-aware Arbiter.</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10.3  The Causality-Aware Safety Arbiter (v2 Requirement)</w:t>
      </w:r>
    </w:p>
    <w:p>
      <w:pPr>
        <w:spacing w:after="80" w:before="60"/>
      </w:pPr>
      <w:r>
        <w:rPr>
          <w:rFonts w:ascii="Arial" w:cs="Arial" w:eastAsia="Arial" w:hAnsi="Arial"/>
          <w:b w:val="false"/>
          <w:bCs w:val="false"/>
          <w:i w:val="false"/>
          <w:iCs w:val="false"/>
          <w:color w:val="1A1A1A"/>
          <w:sz w:val="20"/>
          <w:szCs w:val="20"/>
        </w:rPr>
        <w:t xml:space="preserve">The v2 Safety Arbiter needs one additional concept: a CausalContext that the orchestrator populates before each cycle, noting recent medication changes and their expected physiological windows.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6"/>
              <w:bottom w:val="single" w:color="6A0DAD" w:sz="1"/>
              <w:right w:val="single" w:color="6A0DAD" w:sz="1"/>
            </w:tcBorders>
            <w:shd w:fill="F3E5F5" w:val="clear"/>
            <w:tcMar>
              <w:top w:type="dxa" w:w="120"/>
              <w:left w:type="dxa" w:w="200"/>
              <w:bottom w:type="dxa" w:w="120"/>
              <w:right w:type="dxa" w:w="160"/>
            </w:tcMar>
          </w:tcPr>
          <w:p>
            <w:pPr>
              <w:spacing w:after="80" w:before="40"/>
            </w:pPr>
            <w:r>
              <w:rPr>
                <w:rFonts w:ascii="Arial" w:cs="Arial" w:eastAsia="Arial" w:hAnsi="Arial"/>
                <w:b/>
                <w:bCs/>
                <w:i w:val="false"/>
                <w:iCs w:val="false"/>
                <w:color w:val="6A0DAD"/>
                <w:sz w:val="20"/>
                <w:szCs w:val="20"/>
              </w:rPr>
              <w:t xml:space="preserve">CausalContext Design (v2 specification item)</w:t>
            </w:r>
          </w:p>
          <w:p>
            <w:pPr>
              <w:spacing w:after="32" w:before="32"/>
            </w:pPr>
            <w:r>
              <w:rPr>
                <w:rFonts w:ascii="Arial" w:cs="Arial" w:eastAsia="Arial" w:hAnsi="Arial"/>
                <w:b w:val="false"/>
                <w:bCs w:val="false"/>
                <w:i w:val="false"/>
                <w:iCs w:val="false"/>
                <w:color w:val="1A1A1A"/>
                <w:sz w:val="19"/>
                <w:szCs w:val="19"/>
              </w:rPr>
              <w:t xml:space="preserve">RecentChanges: []MedicationChange{drug, change_type, changed_at, expected_effect_window}</w:t>
            </w:r>
          </w:p>
          <w:p>
            <w:pPr>
              <w:spacing w:after="32" w:before="32"/>
            </w:pPr>
            <w:r>
              <w:rPr>
                <w:rFonts w:ascii="Arial" w:cs="Arial" w:eastAsia="Arial" w:hAnsi="Arial"/>
                <w:b w:val="false"/>
                <w:bCs w:val="false"/>
                <w:i w:val="false"/>
                <w:iCs w:val="false"/>
                <w:color w:val="1A1A1A"/>
                <w:sz w:val="19"/>
                <w:szCs w:val="19"/>
              </w:rPr>
              <w:t xml:space="preserve">ExpectedPhysiologicalRanges: map[LabType]Range — 'creatinine may rise 10% within 7 days of ACEi dose increase'</w:t>
            </w:r>
          </w:p>
          <w:p>
            <w:pPr>
              <w:spacing w:after="32" w:before="32"/>
            </w:pPr>
            <w:r>
              <w:rPr>
                <w:rFonts w:ascii="Arial" w:cs="Arial" w:eastAsia="Arial" w:hAnsi="Arial"/>
                <w:b w:val="false"/>
                <w:bCs w:val="false"/>
                <w:i w:val="false"/>
                <w:iCs w:val="false"/>
                <w:color w:val="1A1A1A"/>
                <w:sz w:val="19"/>
                <w:szCs w:val="19"/>
              </w:rPr>
              <w:t xml:space="preserve">CausalSuppression: if lab change is within expected range of a known recent medication change → downgrade HALT to PAUSE + note causality</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This does not reduce safety — it reduces false positive HALTs that interrupt the correction loop for expected drug effects.</w:t>
            </w:r>
          </w:p>
          <w:p>
            <w:pPr>
              <w:spacing w:after="32" w:before="32"/>
            </w:pPr>
            <w:r>
              <w:rPr>
                <w:rFonts w:ascii="Arial" w:cs="Arial" w:eastAsia="Arial" w:hAnsi="Arial"/>
                <w:b w:val="false"/>
                <w:bCs w:val="false"/>
                <w:i w:val="false"/>
                <w:iCs w:val="false"/>
                <w:color w:val="1A1A1A"/>
                <w:sz w:val="19"/>
                <w:szCs w:val="19"/>
              </w:rPr>
              <w:t xml:space="preserve">The physician always sees the CausalContext in Panel 3 of the CTL — they can override the suppression if they judge the change to be non-causal.</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10.4  What Remains Constant Across All Three Stages</w:t>
      </w:r>
    </w:p>
    <w:p>
      <w:pPr>
        <w:spacing w:after="80" w:before="60"/>
      </w:pPr>
      <w:r>
        <w:rPr>
          <w:rFonts w:ascii="Arial" w:cs="Arial" w:eastAsia="Arial" w:hAnsi="Arial"/>
          <w:b w:val="false"/>
          <w:bCs w:val="false"/>
          <w:i w:val="false"/>
          <w:iCs w:val="false"/>
          <w:color w:val="1A1A1A"/>
          <w:sz w:val="20"/>
          <w:szCs w:val="20"/>
        </w:rPr>
        <w:t xml:space="preserve">The following must not change regardless of how far the architecture evolves:</w:t>
      </w:r>
    </w:p>
    <w:p>
      <w:pPr>
        <w:spacing w:after="0" w:before="80"/>
      </w:pPr>
    </w:p>
    <w:p>
      <w:pPr>
        <w:pStyle w:val="ListParagraph"/>
        <w:numPr>
          <w:ilvl w:val="0"/>
          <w:numId w:val="2"/>
        </w:numPr>
        <w:spacing w:after="52" w:before="40"/>
      </w:pPr>
      <w:r>
        <w:rPr>
          <w:rFonts w:ascii="Arial" w:cs="Arial" w:eastAsia="Arial" w:hAnsi="Arial"/>
          <w:b w:val="false"/>
          <w:bCs w:val="false"/>
          <w:i w:val="false"/>
          <w:iCs w:val="false"/>
          <w:color w:val="1A1A1A"/>
          <w:sz w:val="20"/>
          <w:szCs w:val="20"/>
        </w:rPr>
        <w:t xml:space="preserve">Three-channel 1oo3 architecture — any new control variable (BP, weight, lipids) gets its own parallel Channel B and Channel C rules, never merged with existing channels</w:t>
      </w:r>
    </w:p>
    <w:p>
      <w:pPr>
        <w:pStyle w:val="ListParagraph"/>
        <w:numPr>
          <w:ilvl w:val="0"/>
          <w:numId w:val="2"/>
        </w:numPr>
        <w:spacing w:after="52" w:before="40"/>
      </w:pPr>
      <w:r>
        <w:rPr>
          <w:rFonts w:ascii="Arial" w:cs="Arial" w:eastAsia="Arial" w:hAnsi="Arial"/>
          <w:b w:val="false"/>
          <w:bCs w:val="false"/>
          <w:i w:val="false"/>
          <w:iCs w:val="false"/>
          <w:color w:val="1A1A1A"/>
          <w:sz w:val="20"/>
          <w:szCs w:val="20"/>
        </w:rPr>
        <w:t xml:space="preserve">Physician approval gate for all antihypertensive changes in v1 and v2 — autonomous antihypertensive execution only in v3 within pre-approved envelopes</w:t>
      </w:r>
    </w:p>
    <w:p>
      <w:pPr>
        <w:pStyle w:val="ListParagraph"/>
        <w:numPr>
          <w:ilvl w:val="0"/>
          <w:numId w:val="2"/>
        </w:numPr>
        <w:spacing w:after="52" w:before="40"/>
      </w:pPr>
      <w:r>
        <w:rPr>
          <w:rFonts w:ascii="Arial" w:cs="Arial" w:eastAsia="Arial" w:hAnsi="Arial"/>
          <w:b w:val="false"/>
          <w:bCs w:val="false"/>
          <w:i w:val="false"/>
          <w:iCs w:val="false"/>
          <w:color w:val="1A1A1A"/>
          <w:sz w:val="20"/>
          <w:szCs w:val="20"/>
        </w:rPr>
        <w:t xml:space="preserve">SafetyTrace immutability — every channel decision recorded regardless of CausalContext suppression</w:t>
      </w:r>
    </w:p>
    <w:p>
      <w:pPr>
        <w:pStyle w:val="ListParagraph"/>
        <w:numPr>
          <w:ilvl w:val="0"/>
          <w:numId w:val="2"/>
        </w:numPr>
        <w:spacing w:after="52" w:before="40"/>
      </w:pPr>
      <w:r>
        <w:rPr>
          <w:rFonts w:ascii="Arial" w:cs="Arial" w:eastAsia="Arial" w:hAnsi="Arial"/>
          <w:b w:val="false"/>
          <w:bCs w:val="false"/>
          <w:i w:val="false"/>
          <w:iCs w:val="false"/>
          <w:color w:val="1A1A1A"/>
          <w:sz w:val="20"/>
          <w:szCs w:val="20"/>
        </w:rPr>
        <w:t xml:space="preserve">Import isolation — Channel B never imports application-layer medication context. The orchestrator sets RawInputs fields from FactStore.</w:t>
      </w:r>
    </w:p>
    <w:p>
      <w:pPr>
        <w:pStyle w:val="ListParagraph"/>
        <w:numPr>
          <w:ilvl w:val="0"/>
          <w:numId w:val="2"/>
        </w:numPr>
        <w:spacing w:after="52" w:before="40"/>
      </w:pPr>
      <w:r>
        <w:rPr>
          <w:rFonts w:ascii="Arial" w:cs="Arial" w:eastAsia="Arial" w:hAnsi="Arial"/>
          <w:b w:val="false"/>
          <w:bCs w:val="false"/>
          <w:i w:val="false"/>
          <w:iCs w:val="false"/>
          <w:color w:val="1A1A1A"/>
          <w:sz w:val="20"/>
          <w:szCs w:val="20"/>
        </w:rPr>
        <w:t xml:space="preserve">The asymmetric hysteresis principle — BP gate upgrades immediate, downgrades require confirmation across multiple cycles</w:t>
      </w:r>
    </w:p>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Summary: Complete HTN Integration Change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Change Type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Items</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Priority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FactStore / VitalFact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Extension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measurement_context, posture, arm, consecutive_index, white_coat_flag fields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before pilot</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BPTrajectory</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New struct</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7d/14d means, 4w slope, bp_status, bp_pattern, bp_target, orthostatic_drop</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before pilot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Events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New events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BP_ALERT, BP_SEVERE_ALERT, BP_URGENCY_ALERT, BP_CONTROLLED, ORTHOSTATIC_ALERT, MASKED_HTN_DETECTED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before pilot</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HPI graph</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Extension</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6 new HTN symptom nodes. Beta-blocker-aware question modification logic in session_service + question_orchestrator</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before pilot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Differentials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Extension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Orthostatic hypotension enriched with KB-20 orthostatic_drop. Antihypertensive side effect differentials.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before pilot</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Card Types</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New card type</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HYPERTENSION_REVIEW (5 subtypes). DEPRESCRIBING_PROPOSAL extended with antihypertensive hierarchy.</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before pilot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KB-23 YAML Templates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 new templates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bp_above_target, bp_severe, bp_urgency, bp_deprescribing</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before pilot</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B</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5 new rules</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B-08 through B-12 (SBP HALT/PAUSE, orthostasis, hypertensive urgency, beta-blocker glucose threshold)</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P0 — safety gap</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C</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6 new rules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PG-08 through PG-13 (ACEi/ARB+K+, beta-blocker+insulin, SGLT2i+SBP, thiazide+K+, dual RAAS, HCTZ)</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P0 — safety gap</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RawInputs</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Extension</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beta_blocker_active bool field. Set by orchestrator from FactStore.</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P0 — safety gap</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V-MCU titration velocity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New logic</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BP-status-dependent velocity modulation (SEVERE: -30%, URGENCY: HALT, HYPOTENSIVE: PAUSE)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before pilot</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Simulation scenarios</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6 new scenarios</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Beta-blocker hypo, dual RAAS, orthostasis, SGLT2i-BP interaction, urgency, declining trend</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before pilot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375623" w:sz="1"/>
            </w:tcBorders>
            <w:shd w:fill="E2EFDA" w:val="clear"/>
            <w:tcMar>
              <w:top w:type="dxa" w:w="120"/>
              <w:left w:type="dxa" w:w="200"/>
              <w:bottom w:type="dxa" w:w="120"/>
              <w:right w:type="dxa" w:w="160"/>
            </w:tcMar>
          </w:tcPr>
          <w:p>
            <w:pPr>
              <w:spacing w:after="80" w:before="40"/>
            </w:pPr>
            <w:r>
              <w:rPr>
                <w:rFonts w:ascii="Arial" w:cs="Arial" w:eastAsia="Arial" w:hAnsi="Arial"/>
                <w:b/>
                <w:bCs/>
                <w:i w:val="false"/>
                <w:iCs w:val="false"/>
                <w:color w:val="375623"/>
                <w:sz w:val="20"/>
                <w:szCs w:val="20"/>
              </w:rPr>
              <w:t xml:space="preserve">After These Changes, Vaidshala v1 Becomes</w:t>
            </w:r>
          </w:p>
          <w:p>
            <w:pPr>
              <w:spacing w:after="32" w:before="32"/>
            </w:pPr>
            <w:r>
              <w:rPr>
                <w:rFonts w:ascii="Arial" w:cs="Arial" w:eastAsia="Arial" w:hAnsi="Arial"/>
                <w:b w:val="false"/>
                <w:bCs w:val="false"/>
                <w:i w:val="false"/>
                <w:iCs w:val="false"/>
                <w:color w:val="1A1A1A"/>
                <w:sz w:val="19"/>
                <w:szCs w:val="19"/>
              </w:rPr>
              <w:t xml:space="preserve">A diabetes correction loop + hypertension trajectory intelligence system.</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What it actively corrects: Insulin dose (V-MCU autonomous within ±20% envelope).</w:t>
            </w:r>
          </w:p>
          <w:p>
            <w:pPr>
              <w:spacing w:after="32" w:before="32"/>
            </w:pPr>
            <w:r>
              <w:rPr>
                <w:rFonts w:ascii="Arial" w:cs="Arial" w:eastAsia="Arial" w:hAnsi="Arial"/>
                <w:b w:val="false"/>
                <w:bCs w:val="false"/>
                <w:i w:val="false"/>
                <w:iCs w:val="false"/>
                <w:color w:val="1A1A1A"/>
                <w:sz w:val="19"/>
                <w:szCs w:val="19"/>
              </w:rPr>
              <w:t xml:space="preserve">What it actively monitors and alerts: BP trajectory, antihypertensive drug safety, dual-action drug effects.</w:t>
            </w:r>
          </w:p>
          <w:p>
            <w:pPr>
              <w:spacing w:after="32" w:before="32"/>
            </w:pPr>
            <w:r>
              <w:rPr>
                <w:rFonts w:ascii="Arial" w:cs="Arial" w:eastAsia="Arial" w:hAnsi="Arial"/>
                <w:b w:val="false"/>
                <w:bCs w:val="false"/>
                <w:i w:val="false"/>
                <w:iCs w:val="false"/>
                <w:color w:val="1A1A1A"/>
                <w:sz w:val="19"/>
                <w:szCs w:val="19"/>
              </w:rPr>
              <w:t xml:space="preserve">What requires physician execution: All antihypertensive dose changes (HYPERTENSION_REVIEW card → physician approves).</w:t>
            </w:r>
          </w:p>
          <w:p>
            <w:pPr>
              <w:spacing w:after="32" w:before="32"/>
            </w:pPr>
            <w:r>
              <w:rPr>
                <w:rFonts w:ascii="Arial" w:cs="Arial" w:eastAsia="Arial" w:hAnsi="Arial"/>
                <w:b w:val="false"/>
                <w:bCs w:val="false"/>
                <w:i w:val="false"/>
                <w:iCs w:val="false"/>
                <w:color w:val="1A1A1A"/>
                <w:sz w:val="19"/>
                <w:szCs w:val="19"/>
              </w:rPr>
              <w:t xml:space="preserve">What it prevents: Unsafe insulin titration during haemodynamic instability, beta-blocker masking of hypoglycaemia, dual RAAS blockade, SGLT2i volume depletion, thiazide hypokalaemia.</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The honest clinical description: 'Autonomous glucose management with active blood pressure surveillance and physician-gated antihypertensive guidance.'</w:t>
            </w:r>
          </w:p>
          <w:p>
            <w:pPr>
              <w:spacing w:after="32" w:before="32"/>
            </w:pPr>
            <w:r>
              <w:rPr>
                <w:rFonts w:ascii="Arial" w:cs="Arial" w:eastAsia="Arial" w:hAnsi="Arial"/>
                <w:b w:val="false"/>
                <w:bCs w:val="false"/>
                <w:i w:val="false"/>
                <w:iCs w:val="false"/>
                <w:color w:val="1A1A1A"/>
                <w:sz w:val="19"/>
                <w:szCs w:val="19"/>
              </w:rPr>
              <w:t xml:space="preserve">This is clinically accurate, commercially compelling, and medico-legally defensible.</w:t>
            </w:r>
          </w:p>
        </w:tc>
      </w:tr>
    </w:tbl>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80"/>
    </w:pPr>
    <w:r>
      <w:rPr>
        <w:rFonts w:ascii="Arial" w:cs="Arial" w:eastAsia="Arial" w:hAnsi="Arial"/>
        <w:b w:val="false"/>
        <w:bCs w:val="false"/>
        <w:i w:val="false"/>
        <w:iCs w:val="false"/>
        <w:color w:val="999999"/>
        <w:sz w:val="16"/>
        <w:szCs w:val="16"/>
      </w:rPr>
      <w:t xml:space="preserve">CONFIDENTIAL — Vaidshala Internal  ·  Hypertension in the DM+HTN+CKD Correction Loop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before="0"/>
    </w:pPr>
    <w:r>
      <w:rPr>
        <w:rFonts w:ascii="Arial" w:cs="Arial" w:eastAsia="Arial" w:hAnsi="Arial"/>
        <w:b w:val="false"/>
        <w:bCs w:val="false"/>
        <w:i w:val="false"/>
        <w:iCs w:val="false"/>
        <w:color w:val="777777"/>
        <w:sz w:val="17"/>
        <w:szCs w:val="17"/>
      </w:rPr>
      <w:t xml:space="preserve">Vaidshala v3  ·  Hypertension Integration Proposal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00"/>
      <w:outlineLvl w:val="0"/>
    </w:pPr>
    <w:rPr>
      <w:rFonts w:ascii="Arial" w:cs="Arial" w:eastAsia="Arial" w:hAnsi="Arial"/>
      <w:b/>
      <w:bCs/>
      <w:color w:val="1F4E79"/>
      <w:sz w:val="34"/>
      <w:szCs w:val="34"/>
    </w:rPr>
  </w:style>
  <w:style w:type="paragraph" w:styleId="Heading2">
    <w:name w:val="Heading 2"/>
    <w:basedOn w:val="Normal"/>
    <w:next w:val="Normal"/>
    <w:pPr>
      <w:spacing w:after="100" w:before="240"/>
      <w:outlineLvl w:val="1"/>
    </w:pPr>
    <w:rPr>
      <w:rFonts w:ascii="Arial" w:cs="Arial" w:eastAsia="Arial" w:hAnsi="Arial"/>
      <w:b/>
      <w:bCs/>
      <w:color w:val="2E75B6"/>
      <w:sz w:val="26"/>
      <w:szCs w:val="26"/>
    </w:rPr>
  </w:style>
  <w:style w:type="paragraph" w:styleId="Heading3">
    <w:name w:val="Heading 3"/>
    <w:basedOn w:val="Normal"/>
    <w:next w:val="Normal"/>
    <w:pPr>
      <w:spacing w:after="80" w:before="18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2026-03-07T12:02:06.063Z</dcterms:created>
  <dcterms:modified xsi:type="dcterms:W3CDTF">2026-03-07T12:02:06.064Z</dcterms:modified>
</cp:coreProperties>
</file>

<file path=docProps/custom.xml><?xml version="1.0" encoding="utf-8"?>
<Properties xmlns="http://schemas.openxmlformats.org/officeDocument/2006/custom-properties" xmlns:vt="http://schemas.openxmlformats.org/officeDocument/2006/docPropsVTypes"/>
</file>