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Arial" w:cs="Arial" w:eastAsia="Arial" w:hAnsi="Arial"/>
          <w:b/>
          <w:bCs/>
          <w:color w:val="1B3A5C"/>
          <w:sz w:val="48"/>
          <w:szCs w:val="48"/>
        </w:rPr>
        <w:t xml:space="preserve">Vaidshala Ingestion Service</w:t>
      </w:r>
    </w:p>
    <w:p>
      <w:pPr>
        <w:spacing w:after="60"/>
        <w:jc w:val="center"/>
      </w:pPr>
      <w:r>
        <w:rPr>
          <w:rFonts w:ascii="Arial" w:cs="Arial" w:eastAsia="Arial" w:hAnsi="Arial"/>
          <w:color w:val="2E75B6"/>
          <w:sz w:val="28"/>
          <w:szCs w:val="28"/>
        </w:rPr>
        <w:t xml:space="preserve">Multi-Source Healthcare Data Ingestion Engine</w:t>
      </w:r>
    </w:p>
    <w:p>
      <w:pPr>
        <w:spacing w:after="60"/>
        <w:jc w:val="center"/>
      </w:pPr>
      <w:r>
        <w:rPr>
          <w:rFonts w:ascii="Arial" w:cs="Arial" w:eastAsia="Arial" w:hAnsi="Arial"/>
          <w:color w:val="546E7A"/>
          <w:sz w:val="22"/>
          <w:szCs w:val="22"/>
        </w:rPr>
        <w:t xml:space="preserve">Implementation Guidelines for Go Microservice</w:t>
      </w:r>
    </w:p>
    <w:p>
      <w:pPr>
        <w:spacing w:after="120"/>
        <w:jc w:val="center"/>
      </w:pPr>
      <w:r>
        <w:rPr>
          <w:rFonts w:ascii="Arial" w:cs="Arial" w:eastAsia="Arial" w:hAnsi="Arial"/>
          <w:b/>
          <w:bCs/>
          <w:color w:val="E65100"/>
          <w:sz w:val="18"/>
          <w:szCs w:val="18"/>
        </w:rPr>
        <w:t xml:space="preserve">Sources: EHR Systems | ABDM HIE | Diagnostic Labs | Patient Self-Reports | HPI Prompts | Clinical Devices | Wearables</w:t>
      </w:r>
    </w:p>
    <w:p>
      <w:pPr>
        <w:spacing w:after="120"/>
        <w:jc w:val="center"/>
      </w:pPr>
      <w:r>
        <w:rPr>
          <w:rFonts w:ascii="Arial" w:cs="Arial" w:eastAsia="Arial" w:hAnsi="Arial"/>
          <w:b/>
          <w:bCs/>
          <w:color w:val="2E7D32"/>
          <w:sz w:val="18"/>
          <w:szCs w:val="18"/>
        </w:rPr>
        <w:t xml:space="preserve">Standards: FHIR R4 (ABDM IG v7.0) | HL7 v2.x | LOINC 2.82 | SNOMED CT | ICD-10 | IEEE 11073 | Open mHealth</w:t>
      </w:r>
    </w:p>
    <w:p>
      <w:pPr>
        <w:spacing w:after="400"/>
        <w:jc w:val="center"/>
      </w:pPr>
      <w:r>
        <w:rPr>
          <w:rFonts w:ascii="Arial" w:cs="Arial" w:eastAsia="Arial" w:hAnsi="Arial"/>
          <w:color w:val="90A4AE"/>
          <w:sz w:val="18"/>
          <w:szCs w:val="18"/>
        </w:rPr>
        <w:t xml:space="preserve">Version 1.0  |  March 2026  |  ENGINEERING CONFIDENTIAL</w:t>
      </w:r>
    </w:p>
    <w:p>
      <w:r>
        <w:br w:type="page"/>
      </w:r>
    </w:p>
    <w:p>
      <w:pPr>
        <w:pStyle w:val="Heading1"/>
        <w:spacing w:after="200" w:before="400"/>
      </w:pPr>
      <w:r>
        <w:rPr>
          <w:rFonts w:ascii="Arial" w:cs="Arial" w:eastAsia="Arial" w:hAnsi="Arial"/>
          <w:b/>
          <w:bCs/>
          <w:color w:val="1B3A5C"/>
          <w:sz w:val="30"/>
          <w:szCs w:val="30"/>
        </w:rPr>
        <w:t xml:space="preserve">1. Architectural Overview</w:t>
      </w:r>
    </w:p>
    <w:p>
      <w:pPr>
        <w:spacing w:after="120"/>
      </w:pPr>
      <w:r>
        <w:rPr>
          <w:rFonts w:ascii="Arial" w:cs="Arial" w:eastAsia="Arial" w:hAnsi="Arial"/>
          <w:color w:val="546E7A"/>
          <w:sz w:val="20"/>
          <w:szCs w:val="20"/>
        </w:rPr>
        <w:t xml:space="preserve">The Ingestion Service is the single entry point for all external health data entering the Vaidshala metabolic correction engine. It is a Go microservice that receives data from seven distinct source categories, normalizes it into a canonical internal format, validates it against clinical rules, maps it to FHIR R4 resources (ABDM IG v7.0 compliant), and publishes events to Kafka for downstream consumption by the Knowledge Base services (KB-20 through KB-26).</w:t>
      </w:r>
    </w:p>
    <w:p>
      <w:pPr>
        <w:spacing w:after="60"/>
      </w:pPr>
    </w:p>
    <w:p>
      <w:pPr>
        <w:pBdr>
          <w:left w:val="single" w:color="2E7D32" w:sz="12" w:space="8"/>
        </w:pBdr>
        <w:shd w:fill="E8F5E9" w:val="clear"/>
        <w:spacing w:after="100" w:before="100"/>
      </w:pPr>
      <w:r>
        <w:rPr>
          <w:rFonts w:ascii="Arial" w:cs="Arial" w:eastAsia="Arial" w:hAnsi="Arial"/>
          <w:color w:val="37474F"/>
          <w:sz w:val="19"/>
          <w:szCs w:val="19"/>
        </w:rPr>
        <w:t xml:space="preserve">Design principle: The ingestion service NEVER makes clinical decisions. It normalizes, validates, maps, and routes. Clinical interpretation is the exclusive domain of the KB services. The ingestion service’s job is to ensure that every piece of data arriving at a KB service is structurally valid, semantically coded, temporally anchored, and patient-linked.</w:t>
      </w:r>
    </w:p>
    <w:p>
      <w:pPr>
        <w:spacing w:after="60"/>
      </w:pPr>
    </w:p>
    <w:p>
      <w:pPr>
        <w:pStyle w:val="Heading2"/>
        <w:spacing w:after="140" w:before="280"/>
      </w:pPr>
      <w:r>
        <w:rPr>
          <w:rFonts w:ascii="Arial" w:cs="Arial" w:eastAsia="Arial" w:hAnsi="Arial"/>
          <w:b/>
          <w:bCs/>
          <w:color w:val="2E75B6"/>
          <w:sz w:val="24"/>
          <w:szCs w:val="24"/>
        </w:rPr>
        <w:t xml:space="preserve">1.1 Why Go</w:t>
      </w:r>
    </w:p>
    <w:p>
      <w:pPr>
        <w:spacing w:after="120"/>
      </w:pPr>
      <w:r>
        <w:rPr>
          <w:rFonts w:ascii="Arial" w:cs="Arial" w:eastAsia="Arial" w:hAnsi="Arial"/>
          <w:color w:val="546E7A"/>
          <w:sz w:val="20"/>
          <w:szCs w:val="20"/>
        </w:rPr>
        <w:t xml:space="preserve">Go is selected for the ingestion service for four specific reasons. First, concurrency: the ingestion service must handle simultaneous connections from lab APIs, ABDM callbacks, device data streams, and patient app checkins — Go’s goroutine model handles thousands of concurrent connections with minimal memory overhead (each goroutine costs ~2KB stack vs ~1MB per thread in Java). Second, performance: raw byte parsing of HL7 v2 pipe-delimited messages and JSON FHIR bundles is CPU-bound work where Go’s compiled performance (no GC pauses in hot paths) outperforms Python by 10-50x. Third, deployment: single static binary with no runtime dependencies — critical for container size (Alpine-based images under 20MB) and cold start times on EKS. Fourth, the Go FHIR ecosystem is mature: samply/golang-fhir-models provides R4 structs, google/simhospital demonstrates production FHIR generation in Go, and Verily’s FHIRPath implementation (ANTLR-based, open source) enables expression-based data extraction.</w:t>
      </w:r>
    </w:p>
    <w:p>
      <w:pPr>
        <w:spacing w:after="60"/>
      </w:pPr>
    </w:p>
    <w:p>
      <w:pPr>
        <w:pStyle w:val="Heading2"/>
        <w:spacing w:after="140" w:before="280"/>
      </w:pPr>
      <w:r>
        <w:rPr>
          <w:rFonts w:ascii="Arial" w:cs="Arial" w:eastAsia="Arial" w:hAnsi="Arial"/>
          <w:b/>
          <w:bCs/>
          <w:color w:val="2E75B6"/>
          <w:sz w:val="24"/>
          <w:szCs w:val="24"/>
        </w:rPr>
        <w:t xml:space="preserve">1.2 Data Flow Architecture</w:t>
      </w:r>
    </w:p>
    <w:p>
      <w:pPr>
        <w:spacing w:after="60"/>
      </w:pPr>
    </w:p>
    <w:p>
      <w:pPr>
        <w:spacing w:after="120"/>
      </w:pPr>
      <w:r>
        <w:rPr>
          <w:rFonts w:ascii="Arial" w:cs="Arial" w:eastAsia="Arial" w:hAnsi="Arial"/>
          <w:color w:val="546E7A"/>
          <w:sz w:val="20"/>
          <w:szCs w:val="20"/>
        </w:rPr>
        <w:t xml:space="preserve">External Sources (7 categories)</w:t>
      </w:r>
    </w:p>
    <w:p>
      <w:pPr>
        <w:spacing w:after="120"/>
      </w:pPr>
      <w:r>
        <w:rPr>
          <w:rFonts w:ascii="Arial" w:cs="Arial" w:eastAsia="Arial" w:hAnsi="Arial"/>
          <w:color w:val="546E7A"/>
          <w:sz w:val="20"/>
          <w:szCs w:val="20"/>
        </w:rPr>
        <w:t xml:space="preserve">        |</w:t>
      </w:r>
    </w:p>
    <w:p>
      <w:pPr>
        <w:spacing w:after="120"/>
      </w:pPr>
      <w:r>
        <w:rPr>
          <w:rFonts w:ascii="Arial" w:cs="Arial" w:eastAsia="Arial" w:hAnsi="Arial"/>
          <w:color w:val="546E7A"/>
          <w:sz w:val="20"/>
          <w:szCs w:val="20"/>
        </w:rPr>
        <w:t xml:space="preserve">        v</w:t>
      </w:r>
    </w:p>
    <w:p>
      <w:pPr>
        <w:spacing w:after="120"/>
      </w:pPr>
      <w:r>
        <w:rPr>
          <w:rFonts w:ascii="Arial" w:cs="Arial" w:eastAsia="Arial" w:hAnsi="Arial"/>
          <w:color w:val="546E7A"/>
          <w:sz w:val="20"/>
          <w:szCs w:val="20"/>
        </w:rPr>
        <w:t xml:space="preserve">    INGESTION SERVICE (Go)</w:t>
      </w:r>
    </w:p>
    <w:p>
      <w:pPr>
        <w:spacing w:after="120"/>
      </w:pPr>
      <w:r>
        <w:rPr>
          <w:rFonts w:ascii="Arial" w:cs="Arial" w:eastAsia="Arial" w:hAnsi="Arial"/>
          <w:color w:val="546E7A"/>
          <w:sz w:val="20"/>
          <w:szCs w:val="20"/>
        </w:rPr>
        <w:t xml:space="preserve">    |--- Receiver Layer (protocol adapters: REST, HL7v2 MLLP, MQTT, Webhooks, SFTP)</w:t>
      </w:r>
    </w:p>
    <w:p>
      <w:pPr>
        <w:spacing w:after="120"/>
      </w:pPr>
      <w:r>
        <w:rPr>
          <w:rFonts w:ascii="Arial" w:cs="Arial" w:eastAsia="Arial" w:hAnsi="Arial"/>
          <w:color w:val="546E7A"/>
          <w:sz w:val="20"/>
          <w:szCs w:val="20"/>
        </w:rPr>
        <w:t xml:space="preserve">    |--- Parser Layer (format decoders: FHIR JSON, HL7v2 pipe, CSV, proprietary JSON)</w:t>
      </w:r>
    </w:p>
    <w:p>
      <w:pPr>
        <w:spacing w:after="120"/>
      </w:pPr>
      <w:r>
        <w:rPr>
          <w:rFonts w:ascii="Arial" w:cs="Arial" w:eastAsia="Arial" w:hAnsi="Arial"/>
          <w:color w:val="546E7A"/>
          <w:sz w:val="20"/>
          <w:szCs w:val="20"/>
        </w:rPr>
        <w:t xml:space="preserve">    |--- Normalizer Layer (unit conversion, code mapping, temporal alignment)</w:t>
      </w:r>
    </w:p>
    <w:p>
      <w:pPr>
        <w:spacing w:after="120"/>
      </w:pPr>
      <w:r>
        <w:rPr>
          <w:rFonts w:ascii="Arial" w:cs="Arial" w:eastAsia="Arial" w:hAnsi="Arial"/>
          <w:color w:val="546E7A"/>
          <w:sz w:val="20"/>
          <w:szCs w:val="20"/>
        </w:rPr>
        <w:t xml:space="preserve">    |--- Validator Layer (schema validation, clinical range checks, deduplication)</w:t>
      </w:r>
    </w:p>
    <w:p>
      <w:pPr>
        <w:spacing w:after="120"/>
      </w:pPr>
      <w:r>
        <w:rPr>
          <w:rFonts w:ascii="Arial" w:cs="Arial" w:eastAsia="Arial" w:hAnsi="Arial"/>
          <w:color w:val="546E7A"/>
          <w:sz w:val="20"/>
          <w:szCs w:val="20"/>
        </w:rPr>
        <w:t xml:space="preserve">    |--- Mapper Layer (canonical model → FHIR R4 resources, ABDM profile conformance)</w:t>
      </w:r>
    </w:p>
    <w:p>
      <w:pPr>
        <w:spacing w:after="120"/>
      </w:pPr>
      <w:r>
        <w:rPr>
          <w:rFonts w:ascii="Arial" w:cs="Arial" w:eastAsia="Arial" w:hAnsi="Arial"/>
          <w:color w:val="546E7A"/>
          <w:sz w:val="20"/>
          <w:szCs w:val="20"/>
        </w:rPr>
        <w:t xml:space="preserve">    |--- Router Layer (Kafka topic routing by data type + urgency)</w:t>
      </w:r>
    </w:p>
    <w:p>
      <w:pPr>
        <w:spacing w:after="120"/>
      </w:pPr>
      <w:r>
        <w:rPr>
          <w:rFonts w:ascii="Arial" w:cs="Arial" w:eastAsia="Arial" w:hAnsi="Arial"/>
          <w:color w:val="546E7A"/>
          <w:sz w:val="20"/>
          <w:szCs w:val="20"/>
        </w:rPr>
        <w:t xml:space="preserve">        |</w:t>
      </w:r>
    </w:p>
    <w:p>
      <w:pPr>
        <w:spacing w:after="120"/>
      </w:pPr>
      <w:r>
        <w:rPr>
          <w:rFonts w:ascii="Arial" w:cs="Arial" w:eastAsia="Arial" w:hAnsi="Arial"/>
          <w:color w:val="546E7A"/>
          <w:sz w:val="20"/>
          <w:szCs w:val="20"/>
        </w:rPr>
        <w:t xml:space="preserve">        v</w:t>
      </w:r>
    </w:p>
    <w:p>
      <w:pPr>
        <w:spacing w:after="120"/>
      </w:pPr>
      <w:r>
        <w:rPr>
          <w:rFonts w:ascii="Arial" w:cs="Arial" w:eastAsia="Arial" w:hAnsi="Arial"/>
          <w:color w:val="546E7A"/>
          <w:sz w:val="20"/>
          <w:szCs w:val="20"/>
        </w:rPr>
        <w:t xml:space="preserve">    Kafka Event Bus</w:t>
      </w:r>
    </w:p>
    <w:p>
      <w:pPr>
        <w:spacing w:after="120"/>
      </w:pPr>
      <w:r>
        <w:rPr>
          <w:rFonts w:ascii="Arial" w:cs="Arial" w:eastAsia="Arial" w:hAnsi="Arial"/>
          <w:color w:val="546E7A"/>
          <w:sz w:val="20"/>
          <w:szCs w:val="20"/>
        </w:rPr>
        <w:t xml:space="preserve">    |--- ingestion.observations     → KB-20 (longitudinal state)</w:t>
      </w:r>
    </w:p>
    <w:p>
      <w:pPr>
        <w:spacing w:after="120"/>
      </w:pPr>
      <w:r>
        <w:rPr>
          <w:rFonts w:ascii="Arial" w:cs="Arial" w:eastAsia="Arial" w:hAnsi="Arial"/>
          <w:color w:val="546E7A"/>
          <w:sz w:val="20"/>
          <w:szCs w:val="20"/>
        </w:rPr>
        <w:t xml:space="preserve">    |--- ingestion.labs              → KB-20 + KB-22 (state + monitoring)</w:t>
      </w:r>
    </w:p>
    <w:p>
      <w:pPr>
        <w:spacing w:after="120"/>
      </w:pPr>
      <w:r>
        <w:rPr>
          <w:rFonts w:ascii="Arial" w:cs="Arial" w:eastAsia="Arial" w:hAnsi="Arial"/>
          <w:color w:val="546E7A"/>
          <w:sz w:val="20"/>
          <w:szCs w:val="20"/>
        </w:rPr>
        <w:t xml:space="preserve">    |--- ingestion.vitals            → KB-20 + KB-26 (state + twin recompute trigger)</w:t>
      </w:r>
    </w:p>
    <w:p>
      <w:pPr>
        <w:spacing w:after="120"/>
      </w:pPr>
      <w:r>
        <w:rPr>
          <w:rFonts w:ascii="Arial" w:cs="Arial" w:eastAsia="Arial" w:hAnsi="Arial"/>
          <w:color w:val="546E7A"/>
          <w:sz w:val="20"/>
          <w:szCs w:val="20"/>
        </w:rPr>
        <w:t xml:space="preserve">    |--- ingestion.patient-reported  → KB-20 + KB-21 (state + behavioral)</w:t>
      </w:r>
    </w:p>
    <w:p>
      <w:pPr>
        <w:spacing w:after="120"/>
      </w:pPr>
      <w:r>
        <w:rPr>
          <w:rFonts w:ascii="Arial" w:cs="Arial" w:eastAsia="Arial" w:hAnsi="Arial"/>
          <w:color w:val="546E7A"/>
          <w:sz w:val="20"/>
          <w:szCs w:val="20"/>
        </w:rPr>
        <w:t xml:space="preserve">    |--- ingestion.medications       → KB-20 (state)</w:t>
      </w:r>
    </w:p>
    <w:p>
      <w:pPr>
        <w:spacing w:after="120"/>
      </w:pPr>
      <w:r>
        <w:rPr>
          <w:rFonts w:ascii="Arial" w:cs="Arial" w:eastAsia="Arial" w:hAnsi="Arial"/>
          <w:color w:val="546E7A"/>
          <w:sz w:val="20"/>
          <w:szCs w:val="20"/>
        </w:rPr>
        <w:t xml:space="preserve">    |--- ingestion.hpi               → KB-20 + KB-23 (state + decision engine)</w:t>
      </w:r>
    </w:p>
    <w:p>
      <w:pPr>
        <w:spacing w:after="120"/>
      </w:pPr>
      <w:r>
        <w:rPr>
          <w:rFonts w:ascii="Arial" w:cs="Arial" w:eastAsia="Arial" w:hAnsi="Arial"/>
          <w:color w:val="546E7A"/>
          <w:sz w:val="20"/>
          <w:szCs w:val="20"/>
        </w:rPr>
        <w:t xml:space="preserve">    |--- ingestion.device-data       → KB-20 + KB-26 (state + twin)</w:t>
      </w:r>
    </w:p>
    <w:p>
      <w:pPr>
        <w:spacing w:after="120"/>
      </w:pPr>
      <w:r>
        <w:rPr>
          <w:rFonts w:ascii="Arial" w:cs="Arial" w:eastAsia="Arial" w:hAnsi="Arial"/>
          <w:color w:val="546E7A"/>
          <w:sz w:val="20"/>
          <w:szCs w:val="20"/>
        </w:rPr>
        <w:t xml:space="preserve">    |--- ingestion.abdm-records      → KB-20 (state, external health records)</w:t>
      </w:r>
    </w:p>
    <w:p>
      <w:pPr>
        <w:spacing w:after="120"/>
      </w:pPr>
      <w:r>
        <w:rPr>
          <w:rFonts w:ascii="Arial" w:cs="Arial" w:eastAsia="Arial" w:hAnsi="Arial"/>
          <w:color w:val="546E7A"/>
          <w:sz w:val="20"/>
          <w:szCs w:val="20"/>
        </w:rPr>
        <w:t xml:space="preserve">    |--- ingestion.dlq               → Dead Letter Queue (failed messages)</w:t>
      </w:r>
    </w:p>
    <w:p>
      <w:r>
        <w:br w:type="page"/>
      </w:r>
    </w:p>
    <w:p>
      <w:pPr>
        <w:pStyle w:val="Heading1"/>
        <w:spacing w:after="200" w:before="400"/>
      </w:pPr>
      <w:r>
        <w:rPr>
          <w:rFonts w:ascii="Arial" w:cs="Arial" w:eastAsia="Arial" w:hAnsi="Arial"/>
          <w:b/>
          <w:bCs/>
          <w:color w:val="1B3A5C"/>
          <w:sz w:val="30"/>
          <w:szCs w:val="30"/>
        </w:rPr>
        <w:t xml:space="preserve">2. Data Source Taxonomy</w:t>
      </w:r>
    </w:p>
    <w:p>
      <w:pPr>
        <w:spacing w:after="120"/>
      </w:pPr>
      <w:r>
        <w:rPr>
          <w:rFonts w:ascii="Arial" w:cs="Arial" w:eastAsia="Arial" w:hAnsi="Arial"/>
          <w:color w:val="546E7A"/>
          <w:sz w:val="20"/>
          <w:szCs w:val="20"/>
        </w:rPr>
        <w:t xml:space="preserve">Seven distinct source categories, each with different protocols, formats, frequencies, reliability characteristics, and clinical semantics. The ingestion service must handle all seven simultaneously.</w:t>
      </w:r>
    </w:p>
    <w:p>
      <w:pPr>
        <w:spacing w:after="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00"/>
        <w:gridCol w:w="1800"/>
        <w:gridCol w:w="2200"/>
        <w:gridCol w:w="1800"/>
        <w:gridCol w:w="1400"/>
        <w:gridCol w:w="1400"/>
        <w:gridCol w:w="4780"/>
      </w:tblGrid>
      <w:tr>
        <w:tc>
          <w:tcPr>
            <w:tcW w:type="dxa" w:w="30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w:t>
            </w:r>
          </w:p>
        </w:tc>
        <w:tc>
          <w:tcPr>
            <w:tcW w:type="dxa" w:w="180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Source Category</w:t>
            </w:r>
          </w:p>
        </w:tc>
        <w:tc>
          <w:tcPr>
            <w:tcW w:type="dxa" w:w="220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Protocol / Transport</w:t>
            </w:r>
          </w:p>
        </w:tc>
        <w:tc>
          <w:tcPr>
            <w:tcW w:type="dxa" w:w="180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Data Format</w:t>
            </w:r>
          </w:p>
        </w:tc>
        <w:tc>
          <w:tcPr>
            <w:tcW w:type="dxa" w:w="140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Frequency</w:t>
            </w:r>
          </w:p>
        </w:tc>
        <w:tc>
          <w:tcPr>
            <w:tcW w:type="dxa" w:w="140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Latency Requirement</w:t>
            </w:r>
          </w:p>
        </w:tc>
        <w:tc>
          <w:tcPr>
            <w:tcW w:type="dxa" w:w="478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Indian Context</w:t>
            </w:r>
          </w:p>
        </w:tc>
      </w:tr>
      <w:tr>
        <w:tc>
          <w:tcPr>
            <w:tcW w:type="dxa" w:w="3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1</w:t>
            </w:r>
          </w:p>
        </w:tc>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EHR Systems</w:t>
            </w:r>
          </w:p>
        </w:tc>
        <w:tc>
          <w:tcPr>
            <w:tcW w:type="dxa" w:w="2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HL7 v2.x over MLLP (legacy), FHIR R4 REST API (modern), SFTP batch (rural hospitals)</w:t>
            </w:r>
          </w:p>
        </w:tc>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HL7 v2 pipe-delimited (ADT, ORM, ORU messages), FHIR JSON Bundles, CSV exports</w:t>
            </w:r>
          </w:p>
        </w:tc>
        <w:tc>
          <w:tcPr>
            <w:tcW w:type="dxa" w:w="1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Event-driven (ADT on admission/discharge), batch (nightly CSV from rural HIS)</w:t>
            </w:r>
          </w:p>
        </w:tc>
        <w:tc>
          <w:tcPr>
            <w:tcW w:type="dxa" w:w="1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Minutes (event), hours (batch)</w:t>
            </w:r>
          </w:p>
        </w:tc>
        <w:tc>
          <w:tcPr>
            <w:tcW w:type="dxa" w:w="47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Indian hospital HIS landscape is fragmented. Major vendors: eHospital (NIC for government), HIS by Wipro/Infosys for large chains, proprietary LIMS for labs. Most tier-2/3 hospitals use legacy systems that output HL7 v2 or CSV. ABDM-certified systems output FHIR R4 per NRCES IG v7.0. The ingestion service must handle the full spectrum.</w:t>
            </w:r>
          </w:p>
        </w:tc>
      </w:tr>
      <w:tr>
        <w:tc>
          <w:tcPr>
            <w:tcW w:type="dxa" w:w="3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2</w:t>
            </w:r>
          </w:p>
        </w:tc>
        <w:tc>
          <w:tcPr>
            <w:tcW w:type="dxa" w:w="18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ABDM Health Information Exchange</w:t>
            </w:r>
          </w:p>
        </w:tc>
        <w:tc>
          <w:tcPr>
            <w:tcW w:type="dxa" w:w="22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FHIR R4 REST over HTTPS with ABDM Gateway mediation, consent-gated</w:t>
            </w:r>
          </w:p>
        </w:tc>
        <w:tc>
          <w:tcPr>
            <w:tcW w:type="dxa" w:w="18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FHIR R4 JSON Bundles per ABDM IG v7.0 (Composition-based artifacts: OPConsultRecord, DischargeSummary, DiagnosticReport, Prescription, HealthDocumentRecord, ImmunizationRecord, WellnessRecord)</w:t>
            </w:r>
          </w:p>
        </w:tc>
        <w:tc>
          <w:tcPr>
            <w:tcW w:type="dxa" w:w="1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On-demand (consent-triggered pull), event (push on new record creation)</w:t>
            </w:r>
          </w:p>
        </w:tc>
        <w:tc>
          <w:tcPr>
            <w:tcW w:type="dxa" w:w="1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Minutes</w:t>
            </w:r>
          </w:p>
        </w:tc>
        <w:tc>
          <w:tcPr>
            <w:tcW w:type="dxa" w:w="478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ABDM is mandatory for government channel (AB-PMJAY hospitals) and strongly recommended for insurance. Vaidshala acts as both HIP (publishing patient’s MRI score, lab results as DiagnosticReport) and HIU (pulling patient history from other providers). Consent manager flow: patient grants consent via app → Vaidshala requests data from HIP via ABDM Gateway → HIP encrypts and sends → ingestion service receives, decrypts, parses, normalizes. Key compliance: FHIR profiles must conform to NRCES IG v7.0, coding uses SNOMED CT (Indian extension) + LOINC + ICD-10.</w:t>
            </w:r>
          </w:p>
        </w:tc>
      </w:tr>
      <w:tr>
        <w:tc>
          <w:tcPr>
            <w:tcW w:type="dxa" w:w="3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3</w:t>
            </w:r>
          </w:p>
        </w:tc>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Diagnostic Labs</w:t>
            </w:r>
          </w:p>
        </w:tc>
        <w:tc>
          <w:tcPr>
            <w:tcW w:type="dxa" w:w="2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REST API (Thyrocare, Redcliffe, Orange Health), HL7 v2 ORU messages (SRL/Agilus, Dr. Lal PathLabs, Metropolis), SFTP CSV (smaller labs), email PDF parsing (fallback)</w:t>
            </w:r>
          </w:p>
        </w:tc>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HL7 v2 ORU (Observation Result) messages with OBX segments, JSON API responses (proprietary per lab), CSV with LOINC or proprietary codes, PDF lab reports (OCR fallback)</w:t>
            </w:r>
          </w:p>
        </w:tc>
        <w:tc>
          <w:tcPr>
            <w:tcW w:type="dxa" w:w="1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Event-driven (result available webhook), polling (every 15 min for pending orders), batch (daily CSV)</w:t>
            </w:r>
          </w:p>
        </w:tc>
        <w:tc>
          <w:tcPr>
            <w:tcW w:type="dxa" w:w="1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Minutes for critical (eGFR &lt; 30, FBG &gt; 300), hours for routine</w:t>
            </w:r>
          </w:p>
        </w:tc>
        <w:tc>
          <w:tcPr>
            <w:tcW w:type="dxa" w:w="47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Indian diagnostic lab ecosystem: Thyrocare (API Holdings, REST API, affordable, pan-India), Redcliffe Labs (REST API, home collection), SRL/Agilus (HL7 v2, large hospital chains), Dr. Lal PathLabs (HL7 v2, NABL/CAP certified, 3300+ outlets), Metropolis (HL7 v2, premium), Orange Health (REST API, metros, same-day). Each lab has a proprietary result format. The ingestion service maintains per-lab adapter modules that normalize to LOINC-coded FHIR Observation resources. Critical lab values (eGFR &lt; 30, FBG &gt; 300, K+ &gt; 6.0) trigger high-priority Kafka messages for immediate KB-22 deterioration detection.</w:t>
            </w:r>
          </w:p>
        </w:tc>
      </w:tr>
      <w:tr>
        <w:tc>
          <w:tcPr>
            <w:tcW w:type="dxa" w:w="3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4</w:t>
            </w:r>
          </w:p>
        </w:tc>
        <w:tc>
          <w:tcPr>
            <w:tcW w:type="dxa" w:w="18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Patient Self-Reports (via App + WhatsApp)</w:t>
            </w:r>
          </w:p>
        </w:tc>
        <w:tc>
          <w:tcPr>
            <w:tcW w:type="dxa" w:w="22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REST API (Flutter app POST /checkin), WhatsApp Business API webhook (Tier-1 message parsing)</w:t>
            </w:r>
          </w:p>
        </w:tc>
        <w:tc>
          <w:tcPr>
            <w:tcW w:type="dxa" w:w="18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Structured JSON from app (actionId, value, timestamp), semi-structured WhatsApp messages (parsed by Tier-1 NLU: intent + entities extracted)</w:t>
            </w:r>
          </w:p>
        </w:tc>
        <w:tc>
          <w:tcPr>
            <w:tcW w:type="dxa" w:w="1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Multiple times daily (4-7 checkins per patient per day)</w:t>
            </w:r>
          </w:p>
        </w:tc>
        <w:tc>
          <w:tcPr>
            <w:tcW w:type="dxa" w:w="1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Seconds (must acknowledge immediately for patient UX)</w:t>
            </w:r>
          </w:p>
        </w:tc>
        <w:tc>
          <w:tcPr>
            <w:tcW w:type="dxa" w:w="478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This is the highest-volume source. Each patient generates 4-7 data points per day: FBG reading (morning), PPBG reading (post-meal), step count (daily), meal quality self-assessment, medication adherence confirmation, waist measurement (weekly), BP reading (if monitoring). WhatsApp messages in Hindi are parsed by Tier-1 NLU (LLM for language understanding only, deterministic extraction of numeric values). App checkins arrive as structured JSON. Both paths converge in the ingestion service’s normalizer layer. Self-reported FBG/PPBG values are validated against physiological range (40-500 mg/dL) and flagged if implausible.</w:t>
            </w:r>
          </w:p>
        </w:tc>
      </w:tr>
      <w:tr>
        <w:tc>
          <w:tcPr>
            <w:tcW w:type="dxa" w:w="3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5</w:t>
            </w:r>
          </w:p>
        </w:tc>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HPI Prompts (Structured History)</w:t>
            </w:r>
          </w:p>
        </w:tc>
        <w:tc>
          <w:tcPr>
            <w:tcW w:type="dxa" w:w="2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REST API (from M0 agentic intake system)</w:t>
            </w:r>
          </w:p>
        </w:tc>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Structured JSON with slot-value pairs from the HPI collection flow: symptoms, duration, severity, associated factors, medication side effects, dietary changes, exercise barriers</w:t>
            </w:r>
          </w:p>
        </w:tc>
        <w:tc>
          <w:tcPr>
            <w:tcW w:type="dxa" w:w="1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Per intake session (enrollment + periodic reassessment every 14-28 days)</w:t>
            </w:r>
          </w:p>
        </w:tc>
        <w:tc>
          <w:tcPr>
            <w:tcW w:type="dxa" w:w="1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Minutes</w:t>
            </w:r>
          </w:p>
        </w:tc>
        <w:tc>
          <w:tcPr>
            <w:tcW w:type="dxa" w:w="47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The M0 module collects structured medical history via WhatsApp conversational flow or app-based structured forms. HPI data includes: chief complaint (if any), symptom inventory (polyuria, polydipsia, fatigue, numbness), duration and progression, medication side effects (GI issues with metformin, hypoglycemia episodes), dietary intake patterns (meal timing, carb types, protein sources), exercise capacity and barriers (joint pain, breathlessness), sleep quality (STOP-BANG items for OSA screening), mental health screening (PHQ-2 for depression). Each slot maps to a specific FHIR Observation or Condition resource with SNOMED CT coding. The ingestion service validates completeness against the protocol phase’s required slot list.</w:t>
            </w:r>
          </w:p>
        </w:tc>
      </w:tr>
      <w:tr>
        <w:tc>
          <w:tcPr>
            <w:tcW w:type="dxa" w:w="3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6</w:t>
            </w:r>
          </w:p>
        </w:tc>
        <w:tc>
          <w:tcPr>
            <w:tcW w:type="dxa" w:w="18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Clinical Devices (BP monitors, glucometers)</w:t>
            </w:r>
          </w:p>
        </w:tc>
        <w:tc>
          <w:tcPr>
            <w:tcW w:type="dxa" w:w="22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Bluetooth Low Energy (BLE) via app relay (app captures reading and POSTs to API), USB/serial via clinic workstation (rare), proprietary cloud API (Omron Connect, Accu-Chek Connect)</w:t>
            </w:r>
          </w:p>
        </w:tc>
        <w:tc>
          <w:tcPr>
            <w:tcW w:type="dxa" w:w="18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IEEE 11073 Personal Health Device (PHD) data model (via app translation), proprietary JSON (device vendor APIs), HL7 FHIR Observation (if device is FHIR-enabled)</w:t>
            </w:r>
          </w:p>
        </w:tc>
        <w:tc>
          <w:tcPr>
            <w:tcW w:type="dxa" w:w="1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Event-driven (each measurement), 2-10 readings per patient per day</w:t>
            </w:r>
          </w:p>
        </w:tc>
        <w:tc>
          <w:tcPr>
            <w:tcW w:type="dxa" w:w="1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Seconds (immediate relay from device via app)</w:t>
            </w:r>
          </w:p>
        </w:tc>
        <w:tc>
          <w:tcPr>
            <w:tcW w:type="dxa" w:w="478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Indian clinical device landscape: Most patients use basic digital BP monitors (Omron, Dr. Trust) and glucometers (Accu-Chek, OneTouch, Contour). These devices connect to the patient’s phone via BLE. The Flutter app acts as a relay: captures the reading via BLE, packages it as a structured JSON payload with device metadata (manufacturer, model, serial, firmware), and POSTs to the ingestion service. Some newer devices (Omron Connect) have cloud APIs where readings sync to the vendor’s cloud and we pull via their REST API. The ingestion service normalizes all device data to FHIR Observation resources with IEEE 11073 device reference coding. Key clinical nuance: BP readings from home devices must be tagged with posture (sitting/standing), arm (left/right), and time-of-day context to be clinically useful. The app captures this context; the ingestion service validates its presence.</w:t>
            </w:r>
          </w:p>
        </w:tc>
      </w:tr>
      <w:tr>
        <w:tc>
          <w:tcPr>
            <w:tcW w:type="dxa" w:w="3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7</w:t>
            </w:r>
          </w:p>
        </w:tc>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Wearables (activity trackers, CGM)</w:t>
            </w:r>
          </w:p>
        </w:tc>
        <w:tc>
          <w:tcPr>
            <w:tcW w:type="dxa" w:w="2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REST API (vendor cloud sync: Google Health Connect, Apple HealthKit via app, Ultrahuman M1 API), MQTT (for real-time CGM streams)</w:t>
            </w:r>
          </w:p>
        </w:tc>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Open mHealth data models (mapped by app), Google Health Connect data types (Steps, HeartRate, SleepSession, BloodGlucose), Apple HealthKit quantities, proprietary vendor JSON (Ultrahuman MetSc, GOQii), FHIR Observation (rare)</w:t>
            </w:r>
          </w:p>
        </w:tc>
        <w:tc>
          <w:tcPr>
            <w:tcW w:type="dxa" w:w="1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Continuous (CGM: every 5 min), daily aggregates (steps, sleep, HR), event (workout sessions)</w:t>
            </w:r>
          </w:p>
        </w:tc>
        <w:tc>
          <w:tcPr>
            <w:tcW w:type="dxa" w:w="1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Minutes for CGM alerts, hours for daily aggregates</w:t>
            </w:r>
          </w:p>
        </w:tc>
        <w:tc>
          <w:tcPr>
            <w:tcW w:type="dxa" w:w="47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Indian wearable landscape: Ultrahuman Ring Air (Indian, CGM + Ring, metabolic score, growing adoption among health-conscious urban population), GOQii (Indian, activity + coaching), Noise/boAt (basic fitness bands, limited API access), Fitbit/Samsung (Google Health Connect integration), Apple Watch (HealthKit, limited to iPhone users in India ~5% market share). The ingestion service prioritizes Google Health Connect integration (covers most Android wearables) and direct Ultrahuman M1 API integration (CGM glucose data is highly valuable for the correction loop). CGM data is special: 288 readings per day (every 5 minutes), must be aggregated into clinically meaningful metrics (time in range, glycemic variability, mean glucose) before forwarding to KB services. Raw CGM streams go to a dedicated high-frequency Kafka topic with TTL-based compaction.</w:t>
            </w:r>
          </w:p>
        </w:tc>
      </w:tr>
    </w:tbl>
    <w:p>
      <w:r>
        <w:br w:type="page"/>
      </w:r>
    </w:p>
    <w:p>
      <w:pPr>
        <w:pStyle w:val="Heading1"/>
        <w:spacing w:after="200" w:before="400"/>
      </w:pPr>
      <w:r>
        <w:rPr>
          <w:rFonts w:ascii="Arial" w:cs="Arial" w:eastAsia="Arial" w:hAnsi="Arial"/>
          <w:b/>
          <w:bCs/>
          <w:color w:val="1B3A5C"/>
          <w:sz w:val="30"/>
          <w:szCs w:val="30"/>
        </w:rPr>
        <w:t xml:space="preserve">3. Ingestion Pipeline Stages</w:t>
      </w:r>
    </w:p>
    <w:p>
      <w:pPr>
        <w:spacing w:after="120"/>
      </w:pPr>
      <w:r>
        <w:rPr>
          <w:rFonts w:ascii="Arial" w:cs="Arial" w:eastAsia="Arial" w:hAnsi="Arial"/>
          <w:color w:val="546E7A"/>
          <w:sz w:val="20"/>
          <w:szCs w:val="20"/>
        </w:rPr>
        <w:t xml:space="preserve">Each data point entering the system traverses six stages in sequence. Each stage is a Go interface implementation, enabling per-source-type polymorphism while maintaining a uniform pipeline contract.</w:t>
      </w:r>
    </w:p>
    <w:p>
      <w:pPr>
        <w:spacing w:after="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800"/>
        <w:gridCol w:w="4400"/>
        <w:gridCol w:w="3480"/>
      </w:tblGrid>
      <w:tr>
        <w:tc>
          <w:tcPr>
            <w:tcW w:type="dxa" w:w="120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Stage</w:t>
            </w:r>
          </w:p>
        </w:tc>
        <w:tc>
          <w:tcPr>
            <w:tcW w:type="dxa" w:w="280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Responsibility</w:t>
            </w:r>
          </w:p>
        </w:tc>
        <w:tc>
          <w:tcPr>
            <w:tcW w:type="dxa" w:w="180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Go Interface</w:t>
            </w:r>
          </w:p>
        </w:tc>
        <w:tc>
          <w:tcPr>
            <w:tcW w:type="dxa" w:w="440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Key Operations</w:t>
            </w:r>
          </w:p>
        </w:tc>
        <w:tc>
          <w:tcPr>
            <w:tcW w:type="dxa" w:w="348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Failure Handling</w:t>
            </w:r>
          </w:p>
        </w:tc>
      </w:tr>
      <w:tr>
        <w:tc>
          <w:tcPr>
            <w:tcW w:type="dxa" w:w="1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1. Receive</w:t>
            </w:r>
          </w:p>
        </w:tc>
        <w:tc>
          <w:tcPr>
            <w:tcW w:type="dxa" w:w="2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Accept inbound data from external sources via protocol-specific adapters</w:t>
            </w:r>
          </w:p>
        </w:tc>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Receiver interface: Receive(ctx, rawBytes) → RawMessage</w:t>
            </w:r>
          </w:p>
        </w:tc>
        <w:tc>
          <w:tcPr>
            <w:tcW w:type="dxa" w:w="4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HTTP handler (REST/webhook), MLLP listener (HL7v2 TCP socket), MQTT subscriber (wearable streams), SFTP poller (batch files), ABDM callback handler (consent-gated data receipt with encryption/decryption). Each adapter extracts: sourceType, sourceId, rawPayload, receivedAt, metadata (headers, certificates, sender identity).</w:t>
            </w:r>
          </w:p>
        </w:tc>
        <w:tc>
          <w:tcPr>
            <w:tcW w:type="dxa" w:w="34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Transport-level errors: retry with backoff. ABDM decryption failure: return NACK to gateway, log to audit. Malformed request: HTTP 400 with error details. DDoS protection: per-source rate limiting via token bucket.</w:t>
            </w:r>
          </w:p>
        </w:tc>
      </w:tr>
      <w:tr>
        <w:tc>
          <w:tcPr>
            <w:tcW w:type="dxa" w:w="12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2. Parse</w:t>
            </w:r>
          </w:p>
        </w:tc>
        <w:tc>
          <w:tcPr>
            <w:tcW w:type="dxa" w:w="28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Decode raw bytes into structured intermediate representation</w:t>
            </w:r>
          </w:p>
        </w:tc>
        <w:tc>
          <w:tcPr>
            <w:tcW w:type="dxa" w:w="18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Parser interface: Parse(ctx, RawMessage) → ParsedMessage</w:t>
            </w:r>
          </w:p>
        </w:tc>
        <w:tc>
          <w:tcPr>
            <w:tcW w:type="dxa" w:w="4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HL7v2: pipe-delimited segment parsing (MSH, PID, OBR, OBX extraction). FHIR JSON: deserialize into Go FHIR R4 structs (samply/golang-fhir-models). CSV: row-by-row parsing with column mapping per lab template. WhatsApp NLU output: structured intent+entity JSON. PDF lab reports: OCR via Tesseract + heuristic table extraction (fallback path only). Device JSON: vendor-specific struct unmarshalling.</w:t>
            </w:r>
          </w:p>
        </w:tc>
        <w:tc>
          <w:tcPr>
            <w:tcW w:type="dxa" w:w="348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Parse failure: reject message, publish to DLQ with original bytes + error context. Partial parse (some fields extracted, others failed): proceed with available data, attach warning annotation. Character encoding: force UTF-8, reject or lossy-convert non-UTF-8 payloads.</w:t>
            </w:r>
          </w:p>
        </w:tc>
      </w:tr>
      <w:tr>
        <w:tc>
          <w:tcPr>
            <w:tcW w:type="dxa" w:w="1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3. Normalize</w:t>
            </w:r>
          </w:p>
        </w:tc>
        <w:tc>
          <w:tcPr>
            <w:tcW w:type="dxa" w:w="2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Convert parsed data into canonical internal format with standardized units, codes, and temporal anchoring</w:t>
            </w:r>
          </w:p>
        </w:tc>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Normalizer interface: Normalize(ctx, ParsedMessage) → CanonicalObservation</w:t>
            </w:r>
          </w:p>
        </w:tc>
        <w:tc>
          <w:tcPr>
            <w:tcW w:type="dxa" w:w="4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Unit conversion: mmol/L → mg/dL (glucose, multiply by 18.018), kPa → mmHg (BP, multiply by 7.501), °F → °C. Code mapping: proprietary lab codes → LOINC (per-lab mapping tables maintained in PostgreSQL), ICD-10 coding for conditions, SNOMED CT for clinical findings. Temporal alignment: all timestamps converted to UTC with original timezone preserved. Patient linking: resolve patientId from ABHA ID, phone number, or source-specific MRN via KB-20 patient index. Deduplication key generation: hash of (patientId + observationType + timestamp + value) to detect and reject exact duplicates.</w:t>
            </w:r>
          </w:p>
        </w:tc>
        <w:tc>
          <w:tcPr>
            <w:tcW w:type="dxa" w:w="34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Unknown code: map to ‘UNMAPPED’ with original code preserved in extension field. Flag for manual review. Unknown patient: hold in pending queue, attempt resolution for 24 hours, then DLQ. Unit conversion failure (unexpected unit string): reject to DLQ. Temporal parsing failure: use receivedAt as fallback timestamp, flag as ‘ESTIMATED_TIME’.</w:t>
            </w:r>
          </w:p>
        </w:tc>
      </w:tr>
      <w:tr>
        <w:tc>
          <w:tcPr>
            <w:tcW w:type="dxa" w:w="12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4. Validate</w:t>
            </w:r>
          </w:p>
        </w:tc>
        <w:tc>
          <w:tcPr>
            <w:tcW w:type="dxa" w:w="28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Apply clinical range checks, completeness validation, and data quality scoring</w:t>
            </w:r>
          </w:p>
        </w:tc>
        <w:tc>
          <w:tcPr>
            <w:tcW w:type="dxa" w:w="18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Validator interface: Validate(ctx, CanonicalObservation) → ValidatedObservation</w:t>
            </w:r>
          </w:p>
        </w:tc>
        <w:tc>
          <w:tcPr>
            <w:tcW w:type="dxa" w:w="4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Physiological range checks: FBG (40-500 mg/dL), PPBG (40-600 mg/dL), HbA1c (3.0-18.0%), SBP (60-260 mmHg), DBP (30-150 mmHg), HR (30-220 bpm), eGFR (0-200 mL/min), waist (40-200 cm), steps (0-100,000/day), weight (20-300 kg). Completeness: required fields present (patientId, observationType, value, unit, timestamp). Referential integrity: patientId exists in KB-20. Protocol phase validation: is this observation expected for the patient’s current protocol phase? Data quality score: 0.0-1.0 based on source reliability, device calibration status, temporal plausibility, and value consistency with recent history.</w:t>
            </w:r>
          </w:p>
        </w:tc>
        <w:tc>
          <w:tcPr>
            <w:tcW w:type="dxa" w:w="348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Out-of-range value: flag as IMPLAUSIBLE, still publish to Kafka with flag (KB services decide whether to use). Missing required field: reject to DLQ. Patient not found: pending queue. Quality score &lt; 0.3: publish with LOW_QUALITY flag. Critical value detected (eGFR &lt; 30, FBG &gt; 400, SBP &gt; 200): route to high-priority Kafka partition + trigger immediate pharmacist alert via separate notification channel.</w:t>
            </w:r>
          </w:p>
        </w:tc>
      </w:tr>
      <w:tr>
        <w:tc>
          <w:tcPr>
            <w:tcW w:type="dxa" w:w="1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5. Map</w:t>
            </w:r>
          </w:p>
        </w:tc>
        <w:tc>
          <w:tcPr>
            <w:tcW w:type="dxa" w:w="2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Transform canonical observation into FHIR R4 resources conforming to ABDM IG v7.0 profiles</w:t>
            </w:r>
          </w:p>
        </w:tc>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Mapper interface: MapToFHIR(ctx, ValidatedObservation) → FHIRBundle</w:t>
            </w:r>
          </w:p>
        </w:tc>
        <w:tc>
          <w:tcPr>
            <w:tcW w:type="dxa" w:w="4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Create FHIR Observation resource: code (LOINC), value (Quantity with UCUM unit), effectiveDateTime, subject (Patient reference), device (Device reference if applicable), status, category. Create FHIR DiagnosticReport for lab result bundles. Create FHIR Condition for HPI-reported symptoms. Create FHIR MedicationStatement for self-reported adherence. Apply ABDM profiles: ensure Composition wrapper for ABDM artifact types (DiagnosticReportRecord, WellnessRecord). Attach ABDM-required extensions: abhaId, facilityId (HFR registered). Validate generated FHIR against IG v7.0 StructureDefinition using FHIRPath expressions.</w:t>
            </w:r>
          </w:p>
        </w:tc>
        <w:tc>
          <w:tcPr>
            <w:tcW w:type="dxa" w:w="34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FHIR validation failure: log specific StructureDefinition violation, attempt auto-correction (add missing required extensions), re-validate. If still failing: publish to Kafka as canonical format (not FHIR), flag for manual FHIR mapping review. This ensures downstream KB services still receive the data even if ABDM-compliant FHIR generation fails.</w:t>
            </w:r>
          </w:p>
        </w:tc>
      </w:tr>
      <w:tr>
        <w:tc>
          <w:tcPr>
            <w:tcW w:type="dxa" w:w="12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6. Route</w:t>
            </w:r>
          </w:p>
        </w:tc>
        <w:tc>
          <w:tcPr>
            <w:tcW w:type="dxa" w:w="28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Publish validated, mapped data to appropriate Kafka topics based on data type and urgency</w:t>
            </w:r>
          </w:p>
        </w:tc>
        <w:tc>
          <w:tcPr>
            <w:tcW w:type="dxa" w:w="18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Router interface: Route(ctx, FHIRBundle, ValidatedObservation) → error</w:t>
            </w:r>
          </w:p>
        </w:tc>
        <w:tc>
          <w:tcPr>
            <w:tcW w:type="dxa" w:w="4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Topic selection by observation category: lab results → ingestion.labs, vitals (BP, HR) → ingestion.vitals, patient-reported (checkins) → ingestion.patient-reported, medications → ingestion.medications, HPI → ingestion.hpi, device data → ingestion.device-data, ABDM records → ingestion.abdm-records. Partition key: patientId (ensures ordering per patient). Priority routing: critical values go to high-priority partitions (consumed first by KB-22 deterioration detection). Message envelope: { eventId, sourceType, patientId, tenantId, timestamp, canonicalObservation, fhirBundle, qualityScore, flags[] }.</w:t>
            </w:r>
          </w:p>
        </w:tc>
        <w:tc>
          <w:tcPr>
            <w:tcW w:type="dxa" w:w="348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Kafka publish failure: retry 3 times with exponential backoff (100ms, 500ms, 2s). After 3 failures: persist to local disk WAL (Write-Ahead Log) in the Go service’s local volume. Background goroutine retries WAL messages every 30 seconds. After 1 hour of continuous failure: alert SRE team, messages accumulate in WAL (bounded at 10GB, oldest discarded with CRITICAL alert). This ensures zero data loss under normal failure conditions.</w:t>
            </w:r>
          </w:p>
        </w:tc>
      </w:tr>
    </w:tbl>
    <w:p>
      <w:r>
        <w:br w:type="page"/>
      </w:r>
    </w:p>
    <w:p>
      <w:pPr>
        <w:pStyle w:val="Heading1"/>
        <w:spacing w:after="200" w:before="400"/>
      </w:pPr>
      <w:r>
        <w:rPr>
          <w:rFonts w:ascii="Arial" w:cs="Arial" w:eastAsia="Arial" w:hAnsi="Arial"/>
          <w:b/>
          <w:bCs/>
          <w:color w:val="1B3A5C"/>
          <w:sz w:val="30"/>
          <w:szCs w:val="30"/>
        </w:rPr>
        <w:t xml:space="preserve">4. Canonical Internal Data Model</w:t>
      </w:r>
    </w:p>
    <w:p>
      <w:pPr>
        <w:spacing w:after="120"/>
      </w:pPr>
      <w:r>
        <w:rPr>
          <w:rFonts w:ascii="Arial" w:cs="Arial" w:eastAsia="Arial" w:hAnsi="Arial"/>
          <w:color w:val="546E7A"/>
          <w:sz w:val="20"/>
          <w:szCs w:val="20"/>
        </w:rPr>
        <w:t xml:space="preserve">All data, regardless of source, is normalized into a CanonicalObservation struct before FHIR mapping and Kafka routing. This internal format is the lingua franca of the ingestion pipeline. KB services can consume either the canonical format or the FHIR bundle — both are included in the Kafka message envelope.</w:t>
      </w:r>
    </w:p>
    <w:p>
      <w:pPr>
        <w:spacing w:after="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800"/>
        <w:gridCol w:w="5600"/>
        <w:gridCol w:w="3880"/>
      </w:tblGrid>
      <w:tr>
        <w:tc>
          <w:tcPr>
            <w:tcW w:type="dxa" w:w="200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Field</w:t>
            </w:r>
          </w:p>
        </w:tc>
        <w:tc>
          <w:tcPr>
            <w:tcW w:type="dxa" w:w="140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Type</w:t>
            </w:r>
          </w:p>
        </w:tc>
        <w:tc>
          <w:tcPr>
            <w:tcW w:type="dxa" w:w="80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Required</w:t>
            </w:r>
          </w:p>
        </w:tc>
        <w:tc>
          <w:tcPr>
            <w:tcW w:type="dxa" w:w="560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Description</w:t>
            </w:r>
          </w:p>
        </w:tc>
        <w:tc>
          <w:tcPr>
            <w:tcW w:type="dxa" w:w="388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Example</w:t>
            </w:r>
          </w:p>
        </w:tc>
      </w:tr>
      <w:tr>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EventID</w:t>
            </w:r>
          </w:p>
        </w:tc>
        <w:tc>
          <w:tcPr>
            <w:tcW w:type="dxa" w:w="1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UUID</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Yes</w:t>
            </w:r>
          </w:p>
        </w:tc>
        <w:tc>
          <w:tcPr>
            <w:tcW w:type="dxa" w:w="56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Globally unique identifier for this ingestion event. Generated by the ingestion service at receive time. Used for deduplication, audit trail, and DLQ correlation.</w:t>
            </w:r>
          </w:p>
        </w:tc>
        <w:tc>
          <w:tcPr>
            <w:tcW w:type="dxa" w:w="38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550e8400-e29b-41d4-a716-446655440000</w:t>
            </w:r>
          </w:p>
        </w:tc>
      </w:tr>
      <w:tr>
        <w:tc>
          <w:tcPr>
            <w:tcW w:type="dxa" w:w="20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PatientID</w:t>
            </w:r>
          </w:p>
        </w:tc>
        <w:tc>
          <w:tcPr>
            <w:tcW w:type="dxa" w:w="1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UUID</w:t>
            </w:r>
          </w:p>
        </w:tc>
        <w:tc>
          <w:tcPr>
            <w:tcW w:type="dxa" w:w="8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Yes</w:t>
            </w:r>
          </w:p>
        </w:tc>
        <w:tc>
          <w:tcPr>
            <w:tcW w:type="dxa" w:w="56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Internal Vaidshala patient identifier. Resolved from source-specific identifiers (ABHA ID, phone, MRN) during normalization. Links to KB-20 patient index.</w:t>
            </w:r>
          </w:p>
        </w:tc>
        <w:tc>
          <w:tcPr>
            <w:tcW w:type="dxa" w:w="388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a1b2c3d4-e5f6-7890-abcd-ef1234567890</w:t>
            </w:r>
          </w:p>
        </w:tc>
      </w:tr>
      <w:tr>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TenantID</w:t>
            </w:r>
          </w:p>
        </w:tc>
        <w:tc>
          <w:tcPr>
            <w:tcW w:type="dxa" w:w="1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UUID</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Yes</w:t>
            </w:r>
          </w:p>
        </w:tc>
        <w:tc>
          <w:tcPr>
            <w:tcW w:type="dxa" w:w="56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Tenant identifier for multi-tenancy isolation. Determines data routing, compliance rules, and reporting.</w:t>
            </w:r>
          </w:p>
        </w:tc>
        <w:tc>
          <w:tcPr>
            <w:tcW w:type="dxa" w:w="38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tenant-corporate-001</w:t>
            </w:r>
          </w:p>
        </w:tc>
      </w:tr>
      <w:tr>
        <w:tc>
          <w:tcPr>
            <w:tcW w:type="dxa" w:w="20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SourceType</w:t>
            </w:r>
          </w:p>
        </w:tc>
        <w:tc>
          <w:tcPr>
            <w:tcW w:type="dxa" w:w="1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Enum</w:t>
            </w:r>
          </w:p>
        </w:tc>
        <w:tc>
          <w:tcPr>
            <w:tcW w:type="dxa" w:w="8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Yes</w:t>
            </w:r>
          </w:p>
        </w:tc>
        <w:tc>
          <w:tcPr>
            <w:tcW w:type="dxa" w:w="56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Source category: EHR, ABDM, LAB, PATIENT_REPORTED, HPI, DEVICE, WEARABLE</w:t>
            </w:r>
          </w:p>
        </w:tc>
        <w:tc>
          <w:tcPr>
            <w:tcW w:type="dxa" w:w="388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LAB</w:t>
            </w:r>
          </w:p>
        </w:tc>
      </w:tr>
      <w:tr>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SourceID</w:t>
            </w:r>
          </w:p>
        </w:tc>
        <w:tc>
          <w:tcPr>
            <w:tcW w:type="dxa" w:w="1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String</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Yes</w:t>
            </w:r>
          </w:p>
        </w:tc>
        <w:tc>
          <w:tcPr>
            <w:tcW w:type="dxa" w:w="56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Source-specific identifier. For labs: lab name + order ID. For devices: device serial. For ABDM: care context ID.</w:t>
            </w:r>
          </w:p>
        </w:tc>
        <w:tc>
          <w:tcPr>
            <w:tcW w:type="dxa" w:w="38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thyrocare:order-12345</w:t>
            </w:r>
          </w:p>
        </w:tc>
      </w:tr>
      <w:tr>
        <w:tc>
          <w:tcPr>
            <w:tcW w:type="dxa" w:w="20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ObservationType</w:t>
            </w:r>
          </w:p>
        </w:tc>
        <w:tc>
          <w:tcPr>
            <w:tcW w:type="dxa" w:w="1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String (LOINC preferred)</w:t>
            </w:r>
          </w:p>
        </w:tc>
        <w:tc>
          <w:tcPr>
            <w:tcW w:type="dxa" w:w="8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Yes</w:t>
            </w:r>
          </w:p>
        </w:tc>
        <w:tc>
          <w:tcPr>
            <w:tcW w:type="dxa" w:w="56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What was observed. Coded in LOINC where possible. For non-lab observations, SNOMED CT codes. Custom Vaidshala codes for behavioral observations with LOINC mapping table.</w:t>
            </w:r>
          </w:p>
        </w:tc>
        <w:tc>
          <w:tcPr>
            <w:tcW w:type="dxa" w:w="388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2345-7 (LOINC: Glucose [Mass/volume] in Serum or Plasma)</w:t>
            </w:r>
          </w:p>
        </w:tc>
      </w:tr>
      <w:tr>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Value</w:t>
            </w:r>
          </w:p>
        </w:tc>
        <w:tc>
          <w:tcPr>
            <w:tcW w:type="dxa" w:w="1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Variant (number | string | object)</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Yes</w:t>
            </w:r>
          </w:p>
        </w:tc>
        <w:tc>
          <w:tcPr>
            <w:tcW w:type="dxa" w:w="56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The observation value. Numeric for measurements, string for categorical (sleep quality: good/moderate/poor), object for complex (BP: {systolic, diastolic}).</w:t>
            </w:r>
          </w:p>
        </w:tc>
        <w:tc>
          <w:tcPr>
            <w:tcW w:type="dxa" w:w="38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178</w:t>
            </w:r>
          </w:p>
        </w:tc>
      </w:tr>
      <w:tr>
        <w:tc>
          <w:tcPr>
            <w:tcW w:type="dxa" w:w="20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Unit</w:t>
            </w:r>
          </w:p>
        </w:tc>
        <w:tc>
          <w:tcPr>
            <w:tcW w:type="dxa" w:w="1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String (UCUM)</w:t>
            </w:r>
          </w:p>
        </w:tc>
        <w:tc>
          <w:tcPr>
            <w:tcW w:type="dxa" w:w="8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Conditional</w:t>
            </w:r>
          </w:p>
        </w:tc>
        <w:tc>
          <w:tcPr>
            <w:tcW w:type="dxa" w:w="56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Unit of measurement in UCUM format. Required for numeric values. Standardized during normalization (mg/dL, mmHg, cm, kg, steps/d).</w:t>
            </w:r>
          </w:p>
        </w:tc>
        <w:tc>
          <w:tcPr>
            <w:tcW w:type="dxa" w:w="388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mg/dL</w:t>
            </w:r>
          </w:p>
        </w:tc>
      </w:tr>
      <w:tr>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EffectiveAt</w:t>
            </w:r>
          </w:p>
        </w:tc>
        <w:tc>
          <w:tcPr>
            <w:tcW w:type="dxa" w:w="1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ISO 8601 UTC</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Yes</w:t>
            </w:r>
          </w:p>
        </w:tc>
        <w:tc>
          <w:tcPr>
            <w:tcW w:type="dxa" w:w="56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When the observation was clinically effective (when the measurement was taken, not when it was received). Preserved from source with timezone conversion.</w:t>
            </w:r>
          </w:p>
        </w:tc>
        <w:tc>
          <w:tcPr>
            <w:tcW w:type="dxa" w:w="38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2026-03-15T06:30:00Z</w:t>
            </w:r>
          </w:p>
        </w:tc>
      </w:tr>
      <w:tr>
        <w:tc>
          <w:tcPr>
            <w:tcW w:type="dxa" w:w="20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ReceivedAt</w:t>
            </w:r>
          </w:p>
        </w:tc>
        <w:tc>
          <w:tcPr>
            <w:tcW w:type="dxa" w:w="1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ISO 8601 UTC</w:t>
            </w:r>
          </w:p>
        </w:tc>
        <w:tc>
          <w:tcPr>
            <w:tcW w:type="dxa" w:w="8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Yes</w:t>
            </w:r>
          </w:p>
        </w:tc>
        <w:tc>
          <w:tcPr>
            <w:tcW w:type="dxa" w:w="56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When the ingestion service received the data. Always server-generated. Used for latency monitoring and SLA tracking.</w:t>
            </w:r>
          </w:p>
        </w:tc>
        <w:tc>
          <w:tcPr>
            <w:tcW w:type="dxa" w:w="388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2026-03-15T06:31:12Z</w:t>
            </w:r>
          </w:p>
        </w:tc>
      </w:tr>
      <w:tr>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QualityScore</w:t>
            </w:r>
          </w:p>
        </w:tc>
        <w:tc>
          <w:tcPr>
            <w:tcW w:type="dxa" w:w="1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Float 0.0-1.0</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Yes</w:t>
            </w:r>
          </w:p>
        </w:tc>
        <w:tc>
          <w:tcPr>
            <w:tcW w:type="dxa" w:w="56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Data quality assessment. Based on: source reliability (lab &gt; device &gt; self-report), device calibration, temporal plausibility, value consistency. Set by validator stage.</w:t>
            </w:r>
          </w:p>
        </w:tc>
        <w:tc>
          <w:tcPr>
            <w:tcW w:type="dxa" w:w="38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0.85</w:t>
            </w:r>
          </w:p>
        </w:tc>
      </w:tr>
      <w:tr>
        <w:tc>
          <w:tcPr>
            <w:tcW w:type="dxa" w:w="20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Flags</w:t>
            </w:r>
          </w:p>
        </w:tc>
        <w:tc>
          <w:tcPr>
            <w:tcW w:type="dxa" w:w="1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[]String</w:t>
            </w:r>
          </w:p>
        </w:tc>
        <w:tc>
          <w:tcPr>
            <w:tcW w:type="dxa" w:w="8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No</w:t>
            </w:r>
          </w:p>
        </w:tc>
        <w:tc>
          <w:tcPr>
            <w:tcW w:type="dxa" w:w="56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Quality and clinical flags: CRITICAL_VALUE, IMPLAUSIBLE, LOW_QUALITY, ESTIMATED_TIME, UNMAPPED_CODE, DUPLICATE_SUSPECT, DEVICE_UNCALIBRATED</w:t>
            </w:r>
          </w:p>
        </w:tc>
        <w:tc>
          <w:tcPr>
            <w:tcW w:type="dxa" w:w="388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["CRITICAL_VALUE"]</w:t>
            </w:r>
          </w:p>
        </w:tc>
      </w:tr>
      <w:tr>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DeviceContext</w:t>
            </w:r>
          </w:p>
        </w:tc>
        <w:tc>
          <w:tcPr>
            <w:tcW w:type="dxa" w:w="1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Object</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Conditional</w:t>
            </w:r>
          </w:p>
        </w:tc>
        <w:tc>
          <w:tcPr>
            <w:tcW w:type="dxa" w:w="56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Device metadata when source is DEVICE or WEARABLE: manufacturer, model, serialNumber, firmwareVersion, batteryLevel, lastCalibrated.</w:t>
            </w:r>
          </w:p>
        </w:tc>
        <w:tc>
          <w:tcPr>
            <w:tcW w:type="dxa" w:w="38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 manufacturer: "Omron", model: "HEM-7156" }</w:t>
            </w:r>
          </w:p>
        </w:tc>
      </w:tr>
      <w:tr>
        <w:tc>
          <w:tcPr>
            <w:tcW w:type="dxa" w:w="20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ClinicalContext</w:t>
            </w:r>
          </w:p>
        </w:tc>
        <w:tc>
          <w:tcPr>
            <w:tcW w:type="dxa" w:w="1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Object</w:t>
            </w:r>
          </w:p>
        </w:tc>
        <w:tc>
          <w:tcPr>
            <w:tcW w:type="dxa" w:w="8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No</w:t>
            </w:r>
          </w:p>
        </w:tc>
        <w:tc>
          <w:tcPr>
            <w:tcW w:type="dxa" w:w="56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Additional clinical context: posture (for BP), fasting status (for glucose), time since meal (for PPBG), activity level (for HR).</w:t>
            </w:r>
          </w:p>
        </w:tc>
        <w:tc>
          <w:tcPr>
            <w:tcW w:type="dxa" w:w="388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 fasting: true, posture: "sitting" }</w:t>
            </w:r>
          </w:p>
        </w:tc>
      </w:tr>
      <w:tr>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ABDMContext</w:t>
            </w:r>
          </w:p>
        </w:tc>
        <w:tc>
          <w:tcPr>
            <w:tcW w:type="dxa" w:w="1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Object</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Conditional</w:t>
            </w:r>
          </w:p>
        </w:tc>
        <w:tc>
          <w:tcPr>
            <w:tcW w:type="dxa" w:w="56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ABDM-specific: careContextId, consentId, hipId, hiuId, encryptionKeyId. Required when source is ABDM.</w:t>
            </w:r>
          </w:p>
        </w:tc>
        <w:tc>
          <w:tcPr>
            <w:tcW w:type="dxa" w:w="38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 careContextId: "cc-123", consentId: "consent-456" }</w:t>
            </w:r>
          </w:p>
        </w:tc>
      </w:tr>
      <w:tr>
        <w:tc>
          <w:tcPr>
            <w:tcW w:type="dxa" w:w="20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FHIRResourceType</w:t>
            </w:r>
          </w:p>
        </w:tc>
        <w:tc>
          <w:tcPr>
            <w:tcW w:type="dxa" w:w="1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String</w:t>
            </w:r>
          </w:p>
        </w:tc>
        <w:tc>
          <w:tcPr>
            <w:tcW w:type="dxa" w:w="8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Set by mapper</w:t>
            </w:r>
          </w:p>
        </w:tc>
        <w:tc>
          <w:tcPr>
            <w:tcW w:type="dxa" w:w="56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The FHIR resource type this observation maps to: Observation, DiagnosticReport, Condition, MedicationStatement, Procedure.</w:t>
            </w:r>
          </w:p>
        </w:tc>
        <w:tc>
          <w:tcPr>
            <w:tcW w:type="dxa" w:w="388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Observation</w:t>
            </w:r>
          </w:p>
        </w:tc>
      </w:tr>
    </w:tbl>
    <w:p>
      <w:r>
        <w:br w:type="page"/>
      </w:r>
    </w:p>
    <w:p>
      <w:pPr>
        <w:pStyle w:val="Heading1"/>
        <w:spacing w:after="200" w:before="400"/>
      </w:pPr>
      <w:r>
        <w:rPr>
          <w:rFonts w:ascii="Arial" w:cs="Arial" w:eastAsia="Arial" w:hAnsi="Arial"/>
          <w:b/>
          <w:bCs/>
          <w:color w:val="1B3A5C"/>
          <w:sz w:val="30"/>
          <w:szCs w:val="30"/>
        </w:rPr>
        <w:t xml:space="preserve">5. Per-Source Adapter Specifications</w:t>
      </w:r>
    </w:p>
    <w:p>
      <w:pPr>
        <w:spacing w:after="120"/>
      </w:pPr>
      <w:r>
        <w:rPr>
          <w:rFonts w:ascii="Arial" w:cs="Arial" w:eastAsia="Arial" w:hAnsi="Arial"/>
          <w:color w:val="546E7A"/>
          <w:sz w:val="20"/>
          <w:szCs w:val="20"/>
        </w:rPr>
        <w:t xml:space="preserve">Each source category has a dedicated adapter module in the ingestion service. Adapters implement the Receiver + Parser interfaces and contain source-specific logic. Below are the implementation specifications for each.</w:t>
      </w:r>
    </w:p>
    <w:p>
      <w:pPr>
        <w:spacing w:after="60"/>
      </w:pPr>
    </w:p>
    <w:p>
      <w:pPr>
        <w:pStyle w:val="Heading2"/>
        <w:spacing w:after="140" w:before="280"/>
      </w:pPr>
      <w:r>
        <w:rPr>
          <w:rFonts w:ascii="Arial" w:cs="Arial" w:eastAsia="Arial" w:hAnsi="Arial"/>
          <w:b/>
          <w:bCs/>
          <w:color w:val="2E75B6"/>
          <w:sz w:val="24"/>
          <w:szCs w:val="24"/>
        </w:rPr>
        <w:t xml:space="preserve">5.1 EHR Systems Adapter</w:t>
      </w:r>
    </w:p>
    <w:p>
      <w:pPr>
        <w:spacing w:after="80"/>
      </w:pPr>
      <w:r>
        <w:rPr>
          <w:rFonts w:ascii="Arial" w:cs="Arial" w:eastAsia="Arial" w:hAnsi="Arial"/>
          <w:b/>
          <w:bCs/>
          <w:color w:val="1B3A5C"/>
          <w:sz w:val="20"/>
          <w:szCs w:val="20"/>
        </w:rPr>
        <w:t xml:space="preserve">Module: </w:t>
      </w:r>
      <w:r>
        <w:rPr>
          <w:rFonts w:ascii="Arial" w:cs="Arial" w:eastAsia="Arial" w:hAnsi="Arial"/>
          <w:color w:val="546E7A"/>
          <w:sz w:val="20"/>
          <w:szCs w:val="20"/>
        </w:rPr>
        <w:t xml:space="preserve">internal/adapters/ehr/</w:t>
      </w:r>
    </w:p>
    <w:p>
      <w:pPr>
        <w:spacing w:after="80"/>
      </w:pPr>
      <w:r>
        <w:rPr>
          <w:rFonts w:ascii="Arial" w:cs="Arial" w:eastAsia="Arial" w:hAnsi="Arial"/>
          <w:b/>
          <w:bCs/>
          <w:color w:val="1B3A5C"/>
          <w:sz w:val="20"/>
          <w:szCs w:val="20"/>
        </w:rPr>
        <w:t xml:space="preserve">Protocols: </w:t>
      </w:r>
      <w:r>
        <w:rPr>
          <w:rFonts w:ascii="Arial" w:cs="Arial" w:eastAsia="Arial" w:hAnsi="Arial"/>
          <w:color w:val="546E7A"/>
          <w:sz w:val="20"/>
          <w:szCs w:val="20"/>
        </w:rPr>
        <w:t xml:space="preserve">HL7 v2.x over MLLP (TCP port 2575), FHIR R4 REST (HTTPS), SFTP batch polling</w:t>
      </w:r>
    </w:p>
    <w:p>
      <w:pPr>
        <w:spacing w:after="80"/>
      </w:pPr>
      <w:r>
        <w:rPr>
          <w:rFonts w:ascii="Arial" w:cs="Arial" w:eastAsia="Arial" w:hAnsi="Arial"/>
          <w:b/>
          <w:bCs/>
          <w:color w:val="1B3A5C"/>
          <w:sz w:val="20"/>
          <w:szCs w:val="20"/>
        </w:rPr>
        <w:t xml:space="preserve">HL7 v2 Message Types: </w:t>
      </w:r>
      <w:r>
        <w:rPr>
          <w:rFonts w:ascii="Arial" w:cs="Arial" w:eastAsia="Arial" w:hAnsi="Arial"/>
          <w:color w:val="546E7A"/>
          <w:sz w:val="20"/>
          <w:szCs w:val="20"/>
        </w:rPr>
        <w:t xml:space="preserve">ADT (A01 admit, A03 discharge, A08 update) for demographics. ORM (O01) for orders. ORU (R01) for results. MDM (T02) for documents.</w:t>
      </w:r>
    </w:p>
    <w:p>
      <w:pPr>
        <w:spacing w:after="80"/>
      </w:pPr>
      <w:r>
        <w:rPr>
          <w:rFonts w:ascii="Arial" w:cs="Arial" w:eastAsia="Arial" w:hAnsi="Arial"/>
          <w:b/>
          <w:bCs/>
          <w:color w:val="1B3A5C"/>
          <w:sz w:val="20"/>
          <w:szCs w:val="20"/>
        </w:rPr>
        <w:t xml:space="preserve">MLLP Implementation: </w:t>
      </w:r>
      <w:r>
        <w:rPr>
          <w:rFonts w:ascii="Arial" w:cs="Arial" w:eastAsia="Arial" w:hAnsi="Arial"/>
          <w:color w:val="546E7A"/>
          <w:sz w:val="20"/>
          <w:szCs w:val="20"/>
        </w:rPr>
        <w:t xml:space="preserve">Go TCP listener with MLLP framing (0x0B start, 0x1C+0x0D end). Parse MSH segment for message type routing. Extract PID for patient linking (PID-3 for MRN, PID-19 for ABHA if available). For ORU: iterate OBX segments, extract observation identifier (OBX-3, map to LOINC), value (OBX-5), units (OBX-6), reference range (OBX-7), abnormal flag (OBX-8). Generate ACK/NACK response per HL7 acknowledgment rules.</w:t>
      </w:r>
    </w:p>
    <w:p>
      <w:pPr>
        <w:spacing w:after="80"/>
      </w:pPr>
      <w:r>
        <w:rPr>
          <w:rFonts w:ascii="Arial" w:cs="Arial" w:eastAsia="Arial" w:hAnsi="Arial"/>
          <w:b/>
          <w:bCs/>
          <w:color w:val="1B3A5C"/>
          <w:sz w:val="20"/>
          <w:szCs w:val="20"/>
        </w:rPr>
        <w:t xml:space="preserve">FHIR REST: </w:t>
      </w:r>
      <w:r>
        <w:rPr>
          <w:rFonts w:ascii="Arial" w:cs="Arial" w:eastAsia="Arial" w:hAnsi="Arial"/>
          <w:color w:val="546E7A"/>
          <w:sz w:val="20"/>
          <w:szCs w:val="20"/>
        </w:rPr>
        <w:t xml:space="preserve">Accept FHIR R4 Bundles via POST /ingest/ehr/fhir. Validate Bundle type (transaction or collection). Extract resources: Patient, Encounter, Observation, DiagnosticReport, MedicationRequest, Condition. Validate against ABDM IG v7.0 profiles using FHIRPath. If non-conformant: accept anyway but flag for normalization.</w:t>
      </w:r>
    </w:p>
    <w:p>
      <w:pPr>
        <w:spacing w:after="80"/>
      </w:pPr>
      <w:r>
        <w:rPr>
          <w:rFonts w:ascii="Arial" w:cs="Arial" w:eastAsia="Arial" w:hAnsi="Arial"/>
          <w:b/>
          <w:bCs/>
          <w:color w:val="1B3A5C"/>
          <w:sz w:val="20"/>
          <w:szCs w:val="20"/>
        </w:rPr>
        <w:t xml:space="preserve">SFTP Batch: </w:t>
      </w:r>
      <w:r>
        <w:rPr>
          <w:rFonts w:ascii="Arial" w:cs="Arial" w:eastAsia="Arial" w:hAnsi="Arial"/>
          <w:color w:val="546E7A"/>
          <w:sz w:val="20"/>
          <w:szCs w:val="20"/>
        </w:rPr>
        <w:t xml:space="preserve">Poll configured SFTP paths every 15 minutes. Expect CSV files with predefined column layouts per hospital. Each hospital has a registered CSV template in the adapter config. Parse rows, map columns to canonical fields, process as individual observations. Mark file as processed (rename with .done suffix) to prevent reprocessing.</w:t>
      </w:r>
    </w:p>
    <w:p>
      <w:pPr>
        <w:pBdr>
          <w:left w:val="single" w:color="E65100" w:sz="12" w:space="8"/>
        </w:pBdr>
        <w:shd w:fill="FFF8E1" w:val="clear"/>
        <w:spacing w:after="100" w:before="100"/>
      </w:pPr>
      <w:r>
        <w:rPr>
          <w:rFonts w:ascii="Arial" w:cs="Arial" w:eastAsia="Arial" w:hAnsi="Arial"/>
          <w:color w:val="37474F"/>
          <w:sz w:val="19"/>
          <w:szCs w:val="19"/>
        </w:rPr>
        <w:t xml:space="preserve">Critical: HL7 v2 MLLP connections are long-lived TCP sockets. The Go service must handle connection drops gracefully (reconnect logic on the hospital side, connection pool management on ours). Each hospital connection is a separate goroutine. Max concurrent connections: 100 (configurable).</w:t>
      </w:r>
    </w:p>
    <w:p>
      <w:pPr>
        <w:spacing w:after="60"/>
      </w:pPr>
    </w:p>
    <w:p>
      <w:pPr>
        <w:pStyle w:val="Heading2"/>
        <w:spacing w:after="140" w:before="280"/>
      </w:pPr>
      <w:r>
        <w:rPr>
          <w:rFonts w:ascii="Arial" w:cs="Arial" w:eastAsia="Arial" w:hAnsi="Arial"/>
          <w:b/>
          <w:bCs/>
          <w:color w:val="2E75B6"/>
          <w:sz w:val="24"/>
          <w:szCs w:val="24"/>
        </w:rPr>
        <w:t xml:space="preserve">5.2 ABDM Health Information Exchange Adapter</w:t>
      </w:r>
    </w:p>
    <w:p>
      <w:pPr>
        <w:spacing w:after="80"/>
      </w:pPr>
      <w:r>
        <w:rPr>
          <w:rFonts w:ascii="Arial" w:cs="Arial" w:eastAsia="Arial" w:hAnsi="Arial"/>
          <w:b/>
          <w:bCs/>
          <w:color w:val="1B3A5C"/>
          <w:sz w:val="20"/>
          <w:szCs w:val="20"/>
        </w:rPr>
        <w:t xml:space="preserve">Module: </w:t>
      </w:r>
      <w:r>
        <w:rPr>
          <w:rFonts w:ascii="Arial" w:cs="Arial" w:eastAsia="Arial" w:hAnsi="Arial"/>
          <w:color w:val="546E7A"/>
          <w:sz w:val="20"/>
          <w:szCs w:val="20"/>
        </w:rPr>
        <w:t xml:space="preserve">internal/adapters/abdm/</w:t>
      </w:r>
    </w:p>
    <w:p>
      <w:pPr>
        <w:spacing w:after="80"/>
      </w:pPr>
      <w:r>
        <w:rPr>
          <w:rFonts w:ascii="Arial" w:cs="Arial" w:eastAsia="Arial" w:hAnsi="Arial"/>
          <w:b/>
          <w:bCs/>
          <w:color w:val="1B3A5C"/>
          <w:sz w:val="20"/>
          <w:szCs w:val="20"/>
        </w:rPr>
        <w:t xml:space="preserve">Role: </w:t>
      </w:r>
      <w:r>
        <w:rPr>
          <w:rFonts w:ascii="Arial" w:cs="Arial" w:eastAsia="Arial" w:hAnsi="Arial"/>
          <w:color w:val="546E7A"/>
          <w:sz w:val="20"/>
          <w:szCs w:val="20"/>
        </w:rPr>
        <w:t xml:space="preserve">Both HIP (Health Information Provider) and HIU (Health Information User)</w:t>
      </w:r>
    </w:p>
    <w:p>
      <w:pPr>
        <w:spacing w:after="80"/>
      </w:pPr>
      <w:r>
        <w:rPr>
          <w:rFonts w:ascii="Arial" w:cs="Arial" w:eastAsia="Arial" w:hAnsi="Arial"/>
          <w:b/>
          <w:bCs/>
          <w:color w:val="1B3A5C"/>
          <w:sz w:val="20"/>
          <w:szCs w:val="20"/>
        </w:rPr>
        <w:t xml:space="preserve">ABDM Gateway Integration: </w:t>
      </w:r>
      <w:r>
        <w:rPr>
          <w:rFonts w:ascii="Arial" w:cs="Arial" w:eastAsia="Arial" w:hAnsi="Arial"/>
          <w:color w:val="546E7A"/>
          <w:sz w:val="20"/>
          <w:szCs w:val="20"/>
        </w:rPr>
        <w:t xml:space="preserve">Register with ABDM sandbox (sandbox.abdm.gov.in) during development. Production credentials via sandbox exit process + CERT-IN WASA certification. All communication via ABDM Gateway REST APIs.</w:t>
      </w:r>
    </w:p>
    <w:p>
      <w:pPr>
        <w:spacing w:after="80"/>
      </w:pPr>
      <w:r>
        <w:rPr>
          <w:rFonts w:ascii="Arial" w:cs="Arial" w:eastAsia="Arial" w:hAnsi="Arial"/>
          <w:b/>
          <w:bCs/>
          <w:color w:val="1B3A5C"/>
          <w:sz w:val="20"/>
          <w:szCs w:val="20"/>
        </w:rPr>
        <w:t xml:space="preserve">HIU Flow (Pulling Patient History): </w:t>
      </w:r>
      <w:r>
        <w:rPr>
          <w:rFonts w:ascii="Arial" w:cs="Arial" w:eastAsia="Arial" w:hAnsi="Arial"/>
          <w:color w:val="546E7A"/>
          <w:sz w:val="20"/>
          <w:szCs w:val="20"/>
        </w:rPr>
        <w:t xml:space="preserve">Patient grants consent via app → Vaidshala sends consent request to ABDM Consent Manager → Consent Manager notifies HIP → HIP grants consent → Vaidshala requests health information via /health-information/request → HIP encrypts data with Vaidshala’s public key (Curve25519) → HIP sends encrypted FHIR Bundle to Vaidshala’s data push URL → Ingestion service receives, decrypts (X25519-XSalsa20-Poly1305), parses FHIR Bundle, extracts clinical data (OPConsultRecord, DischargeSummary, DiagnosticReport, Prescription), normalizes to canonical format.</w:t>
      </w:r>
    </w:p>
    <w:p>
      <w:pPr>
        <w:spacing w:after="80"/>
      </w:pPr>
      <w:r>
        <w:rPr>
          <w:rFonts w:ascii="Arial" w:cs="Arial" w:eastAsia="Arial" w:hAnsi="Arial"/>
          <w:b/>
          <w:bCs/>
          <w:color w:val="1B3A5C"/>
          <w:sz w:val="20"/>
          <w:szCs w:val="20"/>
        </w:rPr>
        <w:t xml:space="preserve">HIP Flow (Publishing Patient Data): </w:t>
      </w:r>
      <w:r>
        <w:rPr>
          <w:rFonts w:ascii="Arial" w:cs="Arial" w:eastAsia="Arial" w:hAnsi="Arial"/>
          <w:color w:val="546E7A"/>
          <w:sz w:val="20"/>
          <w:szCs w:val="20"/>
        </w:rPr>
        <w:t xml:space="preserve">Ingestion service (outbound path) creates FHIR R4 Bundles per ABDM IG v7.0 from KB-20/KB-26 data (MRI score as WellnessRecord, lab results as DiagnosticReportRecord). Registers care contexts with ABDM. Responds to data requests from other HIUs (with patient consent).</w:t>
      </w:r>
    </w:p>
    <w:p>
      <w:pPr>
        <w:spacing w:after="80"/>
      </w:pPr>
      <w:r>
        <w:rPr>
          <w:rFonts w:ascii="Arial" w:cs="Arial" w:eastAsia="Arial" w:hAnsi="Arial"/>
          <w:b/>
          <w:bCs/>
          <w:color w:val="1B3A5C"/>
          <w:sz w:val="20"/>
          <w:szCs w:val="20"/>
        </w:rPr>
        <w:t xml:space="preserve">ABDM Artifact Types (NRCES IG v7.0): </w:t>
      </w:r>
      <w:r>
        <w:rPr>
          <w:rFonts w:ascii="Arial" w:cs="Arial" w:eastAsia="Arial" w:hAnsi="Arial"/>
          <w:color w:val="546E7A"/>
          <w:sz w:val="20"/>
          <w:szCs w:val="20"/>
        </w:rPr>
        <w:t xml:space="preserve">OPConsultRecord (outpatient consultation), DischargeSummary, DiagnosticReportRecord (lab reports), PrescriptionRecord, HealthDocumentRecord (generic), ImmunizationRecord, WellnessRecord (lifestyle/wellness data — MRI score publishes here).</w:t>
      </w:r>
    </w:p>
    <w:p>
      <w:pPr>
        <w:spacing w:after="80"/>
      </w:pPr>
      <w:r>
        <w:rPr>
          <w:rFonts w:ascii="Arial" w:cs="Arial" w:eastAsia="Arial" w:hAnsi="Arial"/>
          <w:b/>
          <w:bCs/>
          <w:color w:val="1B3A5C"/>
          <w:sz w:val="20"/>
          <w:szCs w:val="20"/>
        </w:rPr>
        <w:t xml:space="preserve">Coding Systems Required: </w:t>
      </w:r>
      <w:r>
        <w:rPr>
          <w:rFonts w:ascii="Arial" w:cs="Arial" w:eastAsia="Arial" w:hAnsi="Arial"/>
          <w:color w:val="546E7A"/>
          <w:sz w:val="20"/>
          <w:szCs w:val="20"/>
        </w:rPr>
        <w:t xml:space="preserve">SNOMED CT (Indian extension via NRCeS), LOINC 2.82 (lab observations), ICD-10 (2024 release, conditions), RxNorm/ATC (medications), UCUM (units).</w:t>
      </w:r>
    </w:p>
    <w:p>
      <w:pPr>
        <w:pBdr>
          <w:left w:val="single" w:color="C62828" w:sz="12" w:space="8"/>
        </w:pBdr>
        <w:shd w:fill="FFEBEE" w:val="clear"/>
        <w:spacing w:after="100" w:before="100"/>
      </w:pPr>
      <w:r>
        <w:rPr>
          <w:rFonts w:ascii="Arial" w:cs="Arial" w:eastAsia="Arial" w:hAnsi="Arial"/>
          <w:color w:val="37474F"/>
          <w:sz w:val="19"/>
          <w:szCs w:val="19"/>
        </w:rPr>
        <w:t xml:space="preserve">ABDM compliance is mandatory for government channel and required for insurance claims interoperability. The ingestion service must pass ABDM sandbox functional testing + CERT-IN WASA security assessment before production credentials are issued. Budget 4-6 weeks for the certification process.</w:t>
      </w:r>
    </w:p>
    <w:p>
      <w:pPr>
        <w:spacing w:after="60"/>
      </w:pPr>
    </w:p>
    <w:p>
      <w:pPr>
        <w:pStyle w:val="Heading2"/>
        <w:spacing w:after="140" w:before="280"/>
      </w:pPr>
      <w:r>
        <w:rPr>
          <w:rFonts w:ascii="Arial" w:cs="Arial" w:eastAsia="Arial" w:hAnsi="Arial"/>
          <w:b/>
          <w:bCs/>
          <w:color w:val="2E75B6"/>
          <w:sz w:val="24"/>
          <w:szCs w:val="24"/>
        </w:rPr>
        <w:t xml:space="preserve">5.3 Diagnostic Labs Adapter</w:t>
      </w:r>
    </w:p>
    <w:p>
      <w:pPr>
        <w:spacing w:after="80"/>
      </w:pPr>
      <w:r>
        <w:rPr>
          <w:rFonts w:ascii="Arial" w:cs="Arial" w:eastAsia="Arial" w:hAnsi="Arial"/>
          <w:b/>
          <w:bCs/>
          <w:color w:val="1B3A5C"/>
          <w:sz w:val="20"/>
          <w:szCs w:val="20"/>
        </w:rPr>
        <w:t xml:space="preserve">Module: </w:t>
      </w:r>
      <w:r>
        <w:rPr>
          <w:rFonts w:ascii="Arial" w:cs="Arial" w:eastAsia="Arial" w:hAnsi="Arial"/>
          <w:color w:val="546E7A"/>
          <w:sz w:val="20"/>
          <w:szCs w:val="20"/>
        </w:rPr>
        <w:t xml:space="preserve">internal/adapters/labs/</w:t>
      </w:r>
    </w:p>
    <w:p>
      <w:pPr>
        <w:spacing w:after="80"/>
      </w:pPr>
      <w:r>
        <w:rPr>
          <w:rFonts w:ascii="Arial" w:cs="Arial" w:eastAsia="Arial" w:hAnsi="Arial"/>
          <w:b/>
          <w:bCs/>
          <w:color w:val="1B3A5C"/>
          <w:sz w:val="20"/>
          <w:szCs w:val="20"/>
        </w:rPr>
        <w:t xml:space="preserve">Per-Lab Sub-Adapters: </w:t>
      </w:r>
      <w:r>
        <w:rPr>
          <w:rFonts w:ascii="Arial" w:cs="Arial" w:eastAsia="Arial" w:hAnsi="Arial"/>
          <w:color w:val="546E7A"/>
          <w:sz w:val="20"/>
          <w:szCs w:val="20"/>
        </w:rPr>
        <w:t xml:space="preserve">thyrocare.go, redcliffe.go, srl_agilus.go, dr_lal.go, metropolis.go, orange_health.go, generic_csv.go</w:t>
      </w:r>
    </w:p>
    <w:p>
      <w:pPr>
        <w:spacing w:after="80"/>
      </w:pPr>
      <w:r>
        <w:rPr>
          <w:rFonts w:ascii="Arial" w:cs="Arial" w:eastAsia="Arial" w:hAnsi="Arial"/>
          <w:b/>
          <w:bCs/>
          <w:color w:val="1B3A5C"/>
          <w:sz w:val="20"/>
          <w:szCs w:val="20"/>
        </w:rPr>
        <w:t xml:space="preserve">LOINC Mapping Strategy: </w:t>
      </w:r>
      <w:r>
        <w:rPr>
          <w:rFonts w:ascii="Arial" w:cs="Arial" w:eastAsia="Arial" w:hAnsi="Arial"/>
          <w:color w:val="546E7A"/>
          <w:sz w:val="20"/>
          <w:szCs w:val="20"/>
        </w:rPr>
        <w:t xml:space="preserve">Each lab uses proprietary test codes internally. The ingestion service maintains a mapping table in PostgreSQL: lab_code_mappings(lab_id, proprietary_code, proprietary_name, loinc_code, loinc_display, unit_conversion_factor, unit_from, unit_to). This table is maintained by the clinical informatics team and versioned. When a lab sends a result with proprietary code ‘TSH_ULTRA’, the adapter looks up the LOINC mapping (11580-8: Thyrotropin [Units/volume] in Serum or Plasma) and converts units if needed. Unmapped codes are flagged and held for manual mapping before entering the pipeline.</w:t>
      </w:r>
    </w:p>
    <w:p>
      <w:pPr>
        <w:spacing w:after="80"/>
      </w:pPr>
      <w:r>
        <w:rPr>
          <w:rFonts w:ascii="Arial" w:cs="Arial" w:eastAsia="Arial" w:hAnsi="Arial"/>
          <w:b/>
          <w:bCs/>
          <w:color w:val="1B3A5C"/>
          <w:sz w:val="20"/>
          <w:szCs w:val="20"/>
        </w:rPr>
        <w:t xml:space="preserve">Critical Value Routing: </w:t>
      </w:r>
      <w:r>
        <w:rPr>
          <w:rFonts w:ascii="Arial" w:cs="Arial" w:eastAsia="Arial" w:hAnsi="Arial"/>
          <w:color w:val="546E7A"/>
          <w:sz w:val="20"/>
          <w:szCs w:val="20"/>
        </w:rPr>
        <w:t xml:space="preserve">Lab adapter checks each result against critical value thresholds defined per test type: FBG &gt; 400 mg/dL, eGFR &lt; 30 mL/min, HbA1c &gt; 12%, Potassium &gt; 6.0 mEq/L, Sodium &lt; 120 mEq/L. Critical values are routed to a high-priority Kafka partition and trigger an immediate notification to the assigned pharmacist and physician via FCM push + SMS fallback.</w:t>
      </w:r>
    </w:p>
    <w:p>
      <w:pPr>
        <w:spacing w:after="80"/>
      </w:pPr>
      <w:r>
        <w:rPr>
          <w:rFonts w:ascii="Arial" w:cs="Arial" w:eastAsia="Arial" w:hAnsi="Arial"/>
          <w:b/>
          <w:bCs/>
          <w:color w:val="1B3A5C"/>
          <w:sz w:val="20"/>
          <w:szCs w:val="20"/>
        </w:rPr>
        <w:t xml:space="preserve">Result Confirmation: </w:t>
      </w:r>
      <w:r>
        <w:rPr>
          <w:rFonts w:ascii="Arial" w:cs="Arial" w:eastAsia="Arial" w:hAnsi="Arial"/>
          <w:color w:val="546E7A"/>
          <w:sz w:val="20"/>
          <w:szCs w:val="20"/>
        </w:rPr>
        <w:t xml:space="preserve">Lab results are authoritative clinical data. Quality score is set high (0.90-0.95) for NABL-accredited labs, slightly lower (0.80-0.85) for non-accredited labs. Results from NABL/CAP labs (Dr. Lal, SRL, Metropolis) are treated as ground truth for calibrating patient-reported values and device readings.</w:t>
      </w:r>
    </w:p>
    <w:p>
      <w:pPr>
        <w:spacing w:after="60"/>
      </w:pPr>
    </w:p>
    <w:p>
      <w:pPr>
        <w:pStyle w:val="Heading2"/>
        <w:spacing w:after="140" w:before="280"/>
      </w:pPr>
      <w:r>
        <w:rPr>
          <w:rFonts w:ascii="Arial" w:cs="Arial" w:eastAsia="Arial" w:hAnsi="Arial"/>
          <w:b/>
          <w:bCs/>
          <w:color w:val="2E75B6"/>
          <w:sz w:val="24"/>
          <w:szCs w:val="24"/>
        </w:rPr>
        <w:t xml:space="preserve">5.4 Patient Self-Reports Adapter</w:t>
      </w:r>
    </w:p>
    <w:p>
      <w:pPr>
        <w:spacing w:after="80"/>
      </w:pPr>
      <w:r>
        <w:rPr>
          <w:rFonts w:ascii="Arial" w:cs="Arial" w:eastAsia="Arial" w:hAnsi="Arial"/>
          <w:b/>
          <w:bCs/>
          <w:color w:val="1B3A5C"/>
          <w:sz w:val="20"/>
          <w:szCs w:val="20"/>
        </w:rPr>
        <w:t xml:space="preserve">Module: </w:t>
      </w:r>
      <w:r>
        <w:rPr>
          <w:rFonts w:ascii="Arial" w:cs="Arial" w:eastAsia="Arial" w:hAnsi="Arial"/>
          <w:color w:val="546E7A"/>
          <w:sz w:val="20"/>
          <w:szCs w:val="20"/>
        </w:rPr>
        <w:t xml:space="preserve">internal/adapters/patient_reported/</w:t>
      </w:r>
    </w:p>
    <w:p>
      <w:pPr>
        <w:spacing w:after="80"/>
      </w:pPr>
      <w:r>
        <w:rPr>
          <w:rFonts w:ascii="Arial" w:cs="Arial" w:eastAsia="Arial" w:hAnsi="Arial"/>
          <w:b/>
          <w:bCs/>
          <w:color w:val="1B3A5C"/>
          <w:sz w:val="20"/>
          <w:szCs w:val="20"/>
        </w:rPr>
        <w:t xml:space="preserve">Sub-Adapters: </w:t>
      </w:r>
      <w:r>
        <w:rPr>
          <w:rFonts w:ascii="Arial" w:cs="Arial" w:eastAsia="Arial" w:hAnsi="Arial"/>
          <w:color w:val="546E7A"/>
          <w:sz w:val="20"/>
          <w:szCs w:val="20"/>
        </w:rPr>
        <w:t xml:space="preserve">app_checkin.go (Flutter app structured JSON), whatsapp_tier1.go (WhatsApp NLU-parsed intent+entities)</w:t>
      </w:r>
    </w:p>
    <w:p>
      <w:pPr>
        <w:spacing w:after="80"/>
      </w:pPr>
      <w:r>
        <w:rPr>
          <w:rFonts w:ascii="Arial" w:cs="Arial" w:eastAsia="Arial" w:hAnsi="Arial"/>
          <w:b/>
          <w:bCs/>
          <w:color w:val="1B3A5C"/>
          <w:sz w:val="20"/>
          <w:szCs w:val="20"/>
        </w:rPr>
        <w:t xml:space="preserve">App Checkin Format: </w:t>
      </w:r>
      <w:r>
        <w:rPr>
          <w:rFonts w:ascii="Arial" w:cs="Arial" w:eastAsia="Arial" w:hAnsi="Arial"/>
          <w:color w:val="546E7A"/>
          <w:sz w:val="20"/>
          <w:szCs w:val="20"/>
        </w:rPr>
        <w:t xml:space="preserve">{ patientId, actionId, value (numeric or string), timestamp, deviceContext { appVersion, os, connectivity }, tenantId, channelType }. Validated against the patient’s current protocol phase: is this action expected today? Is the value within plausible range?</w:t>
      </w:r>
    </w:p>
    <w:p>
      <w:pPr>
        <w:spacing w:after="80"/>
      </w:pPr>
      <w:r>
        <w:rPr>
          <w:rFonts w:ascii="Arial" w:cs="Arial" w:eastAsia="Arial" w:hAnsi="Arial"/>
          <w:b/>
          <w:bCs/>
          <w:color w:val="1B3A5C"/>
          <w:sz w:val="20"/>
          <w:szCs w:val="20"/>
        </w:rPr>
        <w:t xml:space="preserve">WhatsApp Tier-1 Format: </w:t>
      </w:r>
      <w:r>
        <w:rPr>
          <w:rFonts w:ascii="Arial" w:cs="Arial" w:eastAsia="Arial" w:hAnsi="Arial"/>
          <w:color w:val="546E7A"/>
          <w:sz w:val="20"/>
          <w:szCs w:val="20"/>
        </w:rPr>
        <w:t xml:space="preserve">Tier-1 NLU outputs: { patientId (from phone number mapping), intent (fbg_report | ppbg_report | step_report | meal_report | symptom_report | medication_confirm), entities: { value, unit, meal_type, time_context }, rawMessage (original Hindi/English text), confidence }. Ingestion service checks NLU confidence &gt; 0.7 before accepting. Below 0.7: flag for human review (pharmacist verifies the reading via callback).</w:t>
      </w:r>
    </w:p>
    <w:p>
      <w:pPr>
        <w:spacing w:after="80"/>
      </w:pPr>
      <w:r>
        <w:rPr>
          <w:rFonts w:ascii="Arial" w:cs="Arial" w:eastAsia="Arial" w:hAnsi="Arial"/>
          <w:b/>
          <w:bCs/>
          <w:color w:val="1B3A5C"/>
          <w:sz w:val="20"/>
          <w:szCs w:val="20"/>
        </w:rPr>
        <w:t xml:space="preserve">Quality Score: </w:t>
      </w:r>
      <w:r>
        <w:rPr>
          <w:rFonts w:ascii="Arial" w:cs="Arial" w:eastAsia="Arial" w:hAnsi="Arial"/>
          <w:color w:val="546E7A"/>
          <w:sz w:val="20"/>
          <w:szCs w:val="20"/>
        </w:rPr>
        <w:t xml:space="preserve">Patient self-reports receive base quality score of 0.65 (lower than lab/device). Score adjusted: +0.1 if value is consistent with recent lab-confirmed readings, -0.1 if value deviates significantly from recent history, +0.05 if patient has high engagement score (from KB-21), -0.15 if NLU confidence &lt; 0.8 (WhatsApp path). This allows KB services to weight self-reported data appropriately against device and lab data.</w:t>
      </w:r>
    </w:p>
    <w:p>
      <w:pPr>
        <w:spacing w:after="60"/>
      </w:pPr>
    </w:p>
    <w:p>
      <w:pPr>
        <w:pStyle w:val="Heading2"/>
        <w:spacing w:after="140" w:before="280"/>
      </w:pPr>
      <w:r>
        <w:rPr>
          <w:rFonts w:ascii="Arial" w:cs="Arial" w:eastAsia="Arial" w:hAnsi="Arial"/>
          <w:b/>
          <w:bCs/>
          <w:color w:val="2E75B6"/>
          <w:sz w:val="24"/>
          <w:szCs w:val="24"/>
        </w:rPr>
        <w:t xml:space="preserve">5.5 HPI Prompts Adapter</w:t>
      </w:r>
    </w:p>
    <w:p>
      <w:pPr>
        <w:spacing w:after="80"/>
      </w:pPr>
      <w:r>
        <w:rPr>
          <w:rFonts w:ascii="Arial" w:cs="Arial" w:eastAsia="Arial" w:hAnsi="Arial"/>
          <w:b/>
          <w:bCs/>
          <w:color w:val="1B3A5C"/>
          <w:sz w:val="20"/>
          <w:szCs w:val="20"/>
        </w:rPr>
        <w:t xml:space="preserve">Module: </w:t>
      </w:r>
      <w:r>
        <w:rPr>
          <w:rFonts w:ascii="Arial" w:cs="Arial" w:eastAsia="Arial" w:hAnsi="Arial"/>
          <w:color w:val="546E7A"/>
          <w:sz w:val="20"/>
          <w:szCs w:val="20"/>
        </w:rPr>
        <w:t xml:space="preserve">internal/adapters/hpi/</w:t>
      </w:r>
    </w:p>
    <w:p>
      <w:pPr>
        <w:spacing w:after="80"/>
      </w:pPr>
      <w:r>
        <w:rPr>
          <w:rFonts w:ascii="Arial" w:cs="Arial" w:eastAsia="Arial" w:hAnsi="Arial"/>
          <w:b/>
          <w:bCs/>
          <w:color w:val="1B3A5C"/>
          <w:sz w:val="20"/>
          <w:szCs w:val="20"/>
        </w:rPr>
        <w:t xml:space="preserve">Source: </w:t>
      </w:r>
      <w:r>
        <w:rPr>
          <w:rFonts w:ascii="Arial" w:cs="Arial" w:eastAsia="Arial" w:hAnsi="Arial"/>
          <w:color w:val="546E7A"/>
          <w:sz w:val="20"/>
          <w:szCs w:val="20"/>
        </w:rPr>
        <w:t xml:space="preserve">M0 agentic intake system (WhatsApp-based structured history collection)</w:t>
      </w:r>
    </w:p>
    <w:p>
      <w:pPr>
        <w:spacing w:after="80"/>
      </w:pPr>
      <w:r>
        <w:rPr>
          <w:rFonts w:ascii="Arial" w:cs="Arial" w:eastAsia="Arial" w:hAnsi="Arial"/>
          <w:b/>
          <w:bCs/>
          <w:color w:val="1B3A5C"/>
          <w:sz w:val="20"/>
          <w:szCs w:val="20"/>
        </w:rPr>
        <w:t xml:space="preserve">Data Model: </w:t>
      </w:r>
      <w:r>
        <w:rPr>
          <w:rFonts w:ascii="Arial" w:cs="Arial" w:eastAsia="Arial" w:hAnsi="Arial"/>
          <w:color w:val="546E7A"/>
          <w:sz w:val="20"/>
          <w:szCs w:val="20"/>
        </w:rPr>
        <w:t xml:space="preserve">HPI data arrives as a structured JSON document with slot-value pairs collected over a conversational session. Each slot maps to a clinical concept: S01 (current_medications), S04 (hypo_history), S05 (fbg_recent), S06 (hba1c_value), S07 (hba1c_date), S08 (egfr), S10 (dinner_pattern), S11 (protein_intake), S12 (walk_days), S13 (weight), S14 (waist), S15 (meal_preparer).</w:t>
      </w:r>
    </w:p>
    <w:p>
      <w:pPr>
        <w:spacing w:after="80"/>
      </w:pPr>
      <w:r>
        <w:rPr>
          <w:rFonts w:ascii="Arial" w:cs="Arial" w:eastAsia="Arial" w:hAnsi="Arial"/>
          <w:b/>
          <w:bCs/>
          <w:color w:val="1B3A5C"/>
          <w:sz w:val="20"/>
          <w:szCs w:val="20"/>
        </w:rPr>
        <w:t xml:space="preserve">FHIR Mapping: </w:t>
      </w:r>
      <w:r>
        <w:rPr>
          <w:rFonts w:ascii="Arial" w:cs="Arial" w:eastAsia="Arial" w:hAnsi="Arial"/>
          <w:color w:val="546E7A"/>
          <w:sz w:val="20"/>
          <w:szCs w:val="20"/>
        </w:rPr>
        <w:t xml:space="preserve">Each slot maps to a specific FHIR resource: medications → MedicationStatement, symptoms → Condition, lab values → Observation (with ‘self-reported’ category), dietary patterns → Observation (lifestyle category per ABDM WellnessRecord profile), exercise → Observation. The HPI session as a whole maps to an Encounter resource (intake encounter).</w:t>
      </w:r>
    </w:p>
    <w:p>
      <w:pPr>
        <w:spacing w:after="80"/>
      </w:pPr>
      <w:r>
        <w:rPr>
          <w:rFonts w:ascii="Arial" w:cs="Arial" w:eastAsia="Arial" w:hAnsi="Arial"/>
          <w:b/>
          <w:bCs/>
          <w:color w:val="1B3A5C"/>
          <w:sz w:val="20"/>
          <w:szCs w:val="20"/>
        </w:rPr>
        <w:t xml:space="preserve">Safety Screening: </w:t>
      </w:r>
      <w:r>
        <w:rPr>
          <w:rFonts w:ascii="Arial" w:cs="Arial" w:eastAsia="Arial" w:hAnsi="Arial"/>
          <w:color w:val="546E7A"/>
          <w:sz w:val="20"/>
          <w:szCs w:val="20"/>
        </w:rPr>
        <w:t xml:space="preserve">HPI adapter checks for safety halt triggers defined in the M0 protocol: HS-INSULIN (insulin user requiring immediate physician review), HS-HYPO (severe hypoglycemia history), HS-FBG-LO (FBG &lt; 70 at intake), HS-FBG-HI (FBG &gt; 300 at intake), HS-EGFR (eGFR &lt; 30), HS-PREG (pregnancy + diabetes medications). Safety halts publish to a dedicated Kafka topic ingestion.safety-halt consumed by KB-23 for immediate physician notification.</w:t>
      </w:r>
    </w:p>
    <w:p>
      <w:pPr>
        <w:spacing w:after="60"/>
      </w:pPr>
    </w:p>
    <w:p>
      <w:pPr>
        <w:pStyle w:val="Heading2"/>
        <w:spacing w:after="140" w:before="280"/>
      </w:pPr>
      <w:r>
        <w:rPr>
          <w:rFonts w:ascii="Arial" w:cs="Arial" w:eastAsia="Arial" w:hAnsi="Arial"/>
          <w:b/>
          <w:bCs/>
          <w:color w:val="2E75B6"/>
          <w:sz w:val="24"/>
          <w:szCs w:val="24"/>
        </w:rPr>
        <w:t xml:space="preserve">5.6 Clinical Devices Adapter</w:t>
      </w:r>
    </w:p>
    <w:p>
      <w:pPr>
        <w:spacing w:after="80"/>
      </w:pPr>
      <w:r>
        <w:rPr>
          <w:rFonts w:ascii="Arial" w:cs="Arial" w:eastAsia="Arial" w:hAnsi="Arial"/>
          <w:b/>
          <w:bCs/>
          <w:color w:val="1B3A5C"/>
          <w:sz w:val="20"/>
          <w:szCs w:val="20"/>
        </w:rPr>
        <w:t xml:space="preserve">Module: </w:t>
      </w:r>
      <w:r>
        <w:rPr>
          <w:rFonts w:ascii="Arial" w:cs="Arial" w:eastAsia="Arial" w:hAnsi="Arial"/>
          <w:color w:val="546E7A"/>
          <w:sz w:val="20"/>
          <w:szCs w:val="20"/>
        </w:rPr>
        <w:t xml:space="preserve">internal/adapters/devices/</w:t>
      </w:r>
    </w:p>
    <w:p>
      <w:pPr>
        <w:spacing w:after="80"/>
      </w:pPr>
      <w:r>
        <w:rPr>
          <w:rFonts w:ascii="Arial" w:cs="Arial" w:eastAsia="Arial" w:hAnsi="Arial"/>
          <w:b/>
          <w:bCs/>
          <w:color w:val="1B3A5C"/>
          <w:sz w:val="20"/>
          <w:szCs w:val="20"/>
        </w:rPr>
        <w:t xml:space="preserve">Primary Path: </w:t>
      </w:r>
      <w:r>
        <w:rPr>
          <w:rFonts w:ascii="Arial" w:cs="Arial" w:eastAsia="Arial" w:hAnsi="Arial"/>
          <w:color w:val="546E7A"/>
          <w:sz w:val="20"/>
          <w:szCs w:val="20"/>
        </w:rPr>
        <w:t xml:space="preserve">App-relayed BLE readings. The Flutter app captures device readings via BLE and POSTs structured JSON: { patientId, deviceType (bp_monitor | glucometer | pulse_oximeter | weight_scale), reading: { values, unit }, deviceInfo: { manufacturer, model, serial, firmware, batteryLevel, lastCalibrated }, clinicalContext: { fasting (bool), posture, armSide, timeSinceMeal }, timestamp }.</w:t>
      </w:r>
    </w:p>
    <w:p>
      <w:pPr>
        <w:spacing w:after="80"/>
      </w:pPr>
      <w:r>
        <w:rPr>
          <w:rFonts w:ascii="Arial" w:cs="Arial" w:eastAsia="Arial" w:hAnsi="Arial"/>
          <w:b/>
          <w:bCs/>
          <w:color w:val="1B3A5C"/>
          <w:sz w:val="20"/>
          <w:szCs w:val="20"/>
        </w:rPr>
        <w:t xml:space="preserve">Vendor Cloud Path: </w:t>
      </w:r>
      <w:r>
        <w:rPr>
          <w:rFonts w:ascii="Arial" w:cs="Arial" w:eastAsia="Arial" w:hAnsi="Arial"/>
          <w:color w:val="546E7A"/>
          <w:sz w:val="20"/>
          <w:szCs w:val="20"/>
        </w:rPr>
        <w:t xml:space="preserve">For devices with cloud APIs (Omron Connect, Accu-Chek Connect): periodic polling (every 15 min) of vendor APIs for new readings linked to enrolled patients. Requires patient to link their vendor account during onboarding. Vendor API credentials stored in AWS Secrets Manager per patient (encrypted, consent-gated).</w:t>
      </w:r>
    </w:p>
    <w:p>
      <w:pPr>
        <w:spacing w:after="80"/>
      </w:pPr>
      <w:r>
        <w:rPr>
          <w:rFonts w:ascii="Arial" w:cs="Arial" w:eastAsia="Arial" w:hAnsi="Arial"/>
          <w:b/>
          <w:bCs/>
          <w:color w:val="1B3A5C"/>
          <w:sz w:val="20"/>
          <w:szCs w:val="20"/>
        </w:rPr>
        <w:t xml:space="preserve">IEEE 11073 Mapping: </w:t>
      </w:r>
      <w:r>
        <w:rPr>
          <w:rFonts w:ascii="Arial" w:cs="Arial" w:eastAsia="Arial" w:hAnsi="Arial"/>
          <w:color w:val="546E7A"/>
          <w:sz w:val="20"/>
          <w:szCs w:val="20"/>
        </w:rPr>
        <w:t xml:space="preserve">Device observations are coded using IEEE 11073-10101 nomenclature internally, then cross-mapped to LOINC for FHIR resource generation. Example: IEEE MDC_PRESS_BLD_NONINV_SYS (systolic BP) → LOINC 8480-6 (Systolic blood pressure). Mapping table maintained in the service.</w:t>
      </w:r>
    </w:p>
    <w:p>
      <w:pPr>
        <w:spacing w:after="80"/>
      </w:pPr>
      <w:r>
        <w:rPr>
          <w:rFonts w:ascii="Arial" w:cs="Arial" w:eastAsia="Arial" w:hAnsi="Arial"/>
          <w:b/>
          <w:bCs/>
          <w:color w:val="1B3A5C"/>
          <w:sz w:val="20"/>
          <w:szCs w:val="20"/>
        </w:rPr>
        <w:t xml:space="preserve">Calibration Tracking: </w:t>
      </w:r>
      <w:r>
        <w:rPr>
          <w:rFonts w:ascii="Arial" w:cs="Arial" w:eastAsia="Arial" w:hAnsi="Arial"/>
          <w:color w:val="546E7A"/>
          <w:sz w:val="20"/>
          <w:szCs w:val="20"/>
        </w:rPr>
        <w:t xml:space="preserve">Each device has a calibration status tracked by the ingestion service. Glucometers require control solution testing every 14 days. BP monitors require annual validation. If lastCalibrated is &gt;14 days ago for glucometer or &gt;365 days for BP monitor: quality score reduced by 0.15, DEVICE_UNCALIBRATED flag added. If &gt;30 days for glucometer: readings are flagged as LOW_QUALITY and KB services are warned.</w:t>
      </w:r>
    </w:p>
    <w:p>
      <w:pPr>
        <w:spacing w:after="60"/>
      </w:pPr>
    </w:p>
    <w:p>
      <w:pPr>
        <w:pStyle w:val="Heading2"/>
        <w:spacing w:after="140" w:before="280"/>
      </w:pPr>
      <w:r>
        <w:rPr>
          <w:rFonts w:ascii="Arial" w:cs="Arial" w:eastAsia="Arial" w:hAnsi="Arial"/>
          <w:b/>
          <w:bCs/>
          <w:color w:val="2E75B6"/>
          <w:sz w:val="24"/>
          <w:szCs w:val="24"/>
        </w:rPr>
        <w:t xml:space="preserve">5.7 Wearables Adapter</w:t>
      </w:r>
    </w:p>
    <w:p>
      <w:pPr>
        <w:spacing w:after="80"/>
      </w:pPr>
      <w:r>
        <w:rPr>
          <w:rFonts w:ascii="Arial" w:cs="Arial" w:eastAsia="Arial" w:hAnsi="Arial"/>
          <w:b/>
          <w:bCs/>
          <w:color w:val="1B3A5C"/>
          <w:sz w:val="20"/>
          <w:szCs w:val="20"/>
        </w:rPr>
        <w:t xml:space="preserve">Module: </w:t>
      </w:r>
      <w:r>
        <w:rPr>
          <w:rFonts w:ascii="Arial" w:cs="Arial" w:eastAsia="Arial" w:hAnsi="Arial"/>
          <w:color w:val="546E7A"/>
          <w:sz w:val="20"/>
          <w:szCs w:val="20"/>
        </w:rPr>
        <w:t xml:space="preserve">internal/adapters/wearables/</w:t>
      </w:r>
    </w:p>
    <w:p>
      <w:pPr>
        <w:spacing w:after="80"/>
      </w:pPr>
      <w:r>
        <w:rPr>
          <w:rFonts w:ascii="Arial" w:cs="Arial" w:eastAsia="Arial" w:hAnsi="Arial"/>
          <w:b/>
          <w:bCs/>
          <w:color w:val="1B3A5C"/>
          <w:sz w:val="20"/>
          <w:szCs w:val="20"/>
        </w:rPr>
        <w:t xml:space="preserve">Google Health Connect: </w:t>
      </w:r>
      <w:r>
        <w:rPr>
          <w:rFonts w:ascii="Arial" w:cs="Arial" w:eastAsia="Arial" w:hAnsi="Arial"/>
          <w:color w:val="546E7A"/>
          <w:sz w:val="20"/>
          <w:szCs w:val="20"/>
        </w:rPr>
        <w:t xml:space="preserve">Primary integration path for Android wearables. The Flutter app uses health_connect Flutter plugin to read HealthConnect data types: Steps (daily aggregate), HeartRate (resting, average), SleepSession (duration, stages), BloodGlucose (if CGM synced), BloodPressure (if synced from connected device), Weight, BodyFat. App syncs daily aggregates to ingestion service every 4 hours via background task. Data arrives as structured JSON with HealthConnect data type identifiers.</w:t>
      </w:r>
    </w:p>
    <w:p>
      <w:pPr>
        <w:spacing w:after="80"/>
      </w:pPr>
      <w:r>
        <w:rPr>
          <w:rFonts w:ascii="Arial" w:cs="Arial" w:eastAsia="Arial" w:hAnsi="Arial"/>
          <w:b/>
          <w:bCs/>
          <w:color w:val="1B3A5C"/>
          <w:sz w:val="20"/>
          <w:szCs w:val="20"/>
        </w:rPr>
        <w:t xml:space="preserve">Ultrahuman M1 (CGM): </w:t>
      </w:r>
      <w:r>
        <w:rPr>
          <w:rFonts w:ascii="Arial" w:cs="Arial" w:eastAsia="Arial" w:hAnsi="Arial"/>
          <w:color w:val="546E7A"/>
          <w:sz w:val="20"/>
          <w:szCs w:val="20"/>
        </w:rPr>
        <w:t xml:space="preserve">Direct API integration with Ultrahuman’s REST API. Pulls: glucose readings (every 5 min), MetSc (metabolic score, daily), food scores (per-meal glucose response). CGM data requires special handling: 288 readings/day is too granular for KB-20. The wearable adapter performs server-side aggregation: compute Time in Range (TIR: 70-180 mg/dL), Time Below Range (TBR: &lt;70), Time Above Range (TAR: &gt;180), Coefficient of Variation (CV), Mean Absolute Glucose (MAG), and Mean Glucose. These 6 derived metrics are published as daily aggregate observations. Raw 5-min readings are stored in TimescaleDB with 90-day retention for retrospective analysis but NOT forwarded to KB services per-reading.</w:t>
      </w:r>
    </w:p>
    <w:p>
      <w:pPr>
        <w:spacing w:after="80"/>
      </w:pPr>
      <w:r>
        <w:rPr>
          <w:rFonts w:ascii="Arial" w:cs="Arial" w:eastAsia="Arial" w:hAnsi="Arial"/>
          <w:b/>
          <w:bCs/>
          <w:color w:val="1B3A5C"/>
          <w:sz w:val="20"/>
          <w:szCs w:val="20"/>
        </w:rPr>
        <w:t xml:space="preserve">Apple HealthKit: </w:t>
      </w:r>
      <w:r>
        <w:rPr>
          <w:rFonts w:ascii="Arial" w:cs="Arial" w:eastAsia="Arial" w:hAnsi="Arial"/>
          <w:color w:val="546E7A"/>
          <w:sz w:val="20"/>
          <w:szCs w:val="20"/>
        </w:rPr>
        <w:t xml:space="preserve">iOS-only path. Flutter app reads HealthKit data types (via health Flutter plugin): stepCount, heartRate, sleepAnalysis, bloodGlucose, bloodPressureSystolic/Diastolic. Same daily aggregate sync pattern as Health Connect. Lower priority given ~5% iPhone market share in target population.</w:t>
      </w:r>
    </w:p>
    <w:p>
      <w:pPr>
        <w:spacing w:after="80"/>
      </w:pPr>
      <w:r>
        <w:rPr>
          <w:rFonts w:ascii="Arial" w:cs="Arial" w:eastAsia="Arial" w:hAnsi="Arial"/>
          <w:b/>
          <w:bCs/>
          <w:color w:val="1B3A5C"/>
          <w:sz w:val="20"/>
          <w:szCs w:val="20"/>
        </w:rPr>
        <w:t xml:space="preserve">Open mHealth Mapping: </w:t>
      </w:r>
      <w:r>
        <w:rPr>
          <w:rFonts w:ascii="Arial" w:cs="Arial" w:eastAsia="Arial" w:hAnsi="Arial"/>
          <w:color w:val="546E7A"/>
          <w:sz w:val="20"/>
          <w:szCs w:val="20"/>
        </w:rPr>
        <w:t xml:space="preserve">All wearable data is first mapped to Open mHealth schemas (open-mhealth.org) as an intermediate format, then from Open mHealth to FHIR Observation resources. Open mHealth provides standardized schemas for: physical-activity (steps, distance, calories), heart-rate, blood-glucose, blood-pressure, body-weight, sleep-duration. This two-stage mapping (vendor → Open mHealth → FHIR) isolates vendor-specific changes from the FHIR generation logic.</w:t>
      </w:r>
    </w:p>
    <w:p>
      <w:r>
        <w:br w:type="page"/>
      </w:r>
    </w:p>
    <w:p>
      <w:pPr>
        <w:pStyle w:val="Heading1"/>
        <w:spacing w:after="200" w:before="400"/>
      </w:pPr>
      <w:r>
        <w:rPr>
          <w:rFonts w:ascii="Arial" w:cs="Arial" w:eastAsia="Arial" w:hAnsi="Arial"/>
          <w:b/>
          <w:bCs/>
          <w:color w:val="1B3A5C"/>
          <w:sz w:val="30"/>
          <w:szCs w:val="30"/>
        </w:rPr>
        <w:t xml:space="preserve">6. FHIR R4 Resource Mapping (ABDM IG v7.0)</w:t>
      </w:r>
    </w:p>
    <w:p>
      <w:pPr>
        <w:spacing w:after="120"/>
      </w:pPr>
      <w:r>
        <w:rPr>
          <w:rFonts w:ascii="Arial" w:cs="Arial" w:eastAsia="Arial" w:hAnsi="Arial"/>
          <w:color w:val="546E7A"/>
          <w:sz w:val="20"/>
          <w:szCs w:val="20"/>
        </w:rPr>
        <w:t xml:space="preserve">Every canonical observation is mapped to one or more FHIR R4 resources conforming to the ABDM Implementation Guide published by NRCeS (National Resource Center for EHR Standards). The current version is v7.0 based on FHIR R4.0.1.</w:t>
      </w:r>
    </w:p>
    <w:p>
      <w:pPr>
        <w:spacing w:after="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1400"/>
        <w:gridCol w:w="2400"/>
        <w:gridCol w:w="4480"/>
      </w:tblGrid>
      <w:tr>
        <w:tc>
          <w:tcPr>
            <w:tcW w:type="dxa" w:w="180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Observation Category</w:t>
            </w:r>
          </w:p>
        </w:tc>
        <w:tc>
          <w:tcPr>
            <w:tcW w:type="dxa" w:w="160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FHIR Resource(s)</w:t>
            </w:r>
          </w:p>
        </w:tc>
        <w:tc>
          <w:tcPr>
            <w:tcW w:type="dxa" w:w="200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ABDM Profile</w:t>
            </w:r>
          </w:p>
        </w:tc>
        <w:tc>
          <w:tcPr>
            <w:tcW w:type="dxa" w:w="140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Coding System</w:t>
            </w:r>
          </w:p>
        </w:tc>
        <w:tc>
          <w:tcPr>
            <w:tcW w:type="dxa" w:w="240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LOINC Examples</w:t>
            </w:r>
          </w:p>
        </w:tc>
        <w:tc>
          <w:tcPr>
            <w:tcW w:type="dxa" w:w="448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Notes</w:t>
            </w:r>
          </w:p>
        </w:tc>
      </w:tr>
      <w:tr>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Fasting Blood Glucose</w:t>
            </w:r>
          </w:p>
        </w:tc>
        <w:tc>
          <w:tcPr>
            <w:tcW w:type="dxa" w:w="16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Observation</w:t>
            </w:r>
          </w:p>
        </w:tc>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ObservationGeneralAssessment</w:t>
            </w:r>
          </w:p>
        </w:tc>
        <w:tc>
          <w:tcPr>
            <w:tcW w:type="dxa" w:w="1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LOINC</w:t>
            </w:r>
          </w:p>
        </w:tc>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1558-6 (Fasting glucose [Mass/volume] in Serum or Plasma)</w:t>
            </w:r>
          </w:p>
        </w:tc>
        <w:tc>
          <w:tcPr>
            <w:tcW w:type="dxa" w:w="44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Most critical metric for the correction loop. FBG is the anchor for MRI glucose domain. Self-reported FBG receives lower quality score than lab FBG. Both stored as Observation but with different Observation.method coding.</w:t>
            </w:r>
          </w:p>
        </w:tc>
      </w:tr>
      <w:tr>
        <w:tc>
          <w:tcPr>
            <w:tcW w:type="dxa" w:w="18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Post-Prandial Blood Glucose</w:t>
            </w:r>
          </w:p>
        </w:tc>
        <w:tc>
          <w:tcPr>
            <w:tcW w:type="dxa" w:w="16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Observation</w:t>
            </w:r>
          </w:p>
        </w:tc>
        <w:tc>
          <w:tcPr>
            <w:tcW w:type="dxa" w:w="20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ObservationGeneralAssessment</w:t>
            </w:r>
          </w:p>
        </w:tc>
        <w:tc>
          <w:tcPr>
            <w:tcW w:type="dxa" w:w="1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LOINC</w:t>
            </w:r>
          </w:p>
        </w:tc>
        <w:tc>
          <w:tcPr>
            <w:tcW w:type="dxa" w:w="2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1521-4 (Glucose [Mass/volume] in Serum or Plasma --2 hours post meal)</w:t>
            </w:r>
          </w:p>
        </w:tc>
        <w:tc>
          <w:tcPr>
            <w:tcW w:type="dxa" w:w="448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Must include meal context in Observation.component: meal type, time since meal. Critical for PPBG trend analysis in KB-26 twin.</w:t>
            </w:r>
          </w:p>
        </w:tc>
      </w:tr>
      <w:tr>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HbA1c</w:t>
            </w:r>
          </w:p>
        </w:tc>
        <w:tc>
          <w:tcPr>
            <w:tcW w:type="dxa" w:w="16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Observation (in DiagnosticReport)</w:t>
            </w:r>
          </w:p>
        </w:tc>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DiagnosticReportLab</w:t>
            </w:r>
          </w:p>
        </w:tc>
        <w:tc>
          <w:tcPr>
            <w:tcW w:type="dxa" w:w="1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LOINC</w:t>
            </w:r>
          </w:p>
        </w:tc>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4548-4 (Hemoglobin A1c/Hemoglobin.total in Blood)</w:t>
            </w:r>
          </w:p>
        </w:tc>
        <w:tc>
          <w:tcPr>
            <w:tcW w:type="dxa" w:w="44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Always from lab source. Published as part of DiagnosticReportRecord ABDM artifact. 90-day anchor metric. Triggers MRI recomputation.</w:t>
            </w:r>
          </w:p>
        </w:tc>
      </w:tr>
      <w:tr>
        <w:tc>
          <w:tcPr>
            <w:tcW w:type="dxa" w:w="18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Blood Pressure</w:t>
            </w:r>
          </w:p>
        </w:tc>
        <w:tc>
          <w:tcPr>
            <w:tcW w:type="dxa" w:w="16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Observation (component-based)</w:t>
            </w:r>
          </w:p>
        </w:tc>
        <w:tc>
          <w:tcPr>
            <w:tcW w:type="dxa" w:w="20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ObservationVitalSigns (BP Profile)</w:t>
            </w:r>
          </w:p>
        </w:tc>
        <w:tc>
          <w:tcPr>
            <w:tcW w:type="dxa" w:w="1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LOINC</w:t>
            </w:r>
          </w:p>
        </w:tc>
        <w:tc>
          <w:tcPr>
            <w:tcW w:type="dxa" w:w="2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85354-9 (Blood pressure panel), 8480-6 (Systolic), 8462-4 (Diastolic)</w:t>
            </w:r>
          </w:p>
        </w:tc>
        <w:tc>
          <w:tcPr>
            <w:tcW w:type="dxa" w:w="448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Must be component-based per FHIR BP profile: one Observation with two components (systolic + diastolic). Clinical context required: posture, arm, time of day, home vs clinic.</w:t>
            </w:r>
          </w:p>
        </w:tc>
      </w:tr>
      <w:tr>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eGFR</w:t>
            </w:r>
          </w:p>
        </w:tc>
        <w:tc>
          <w:tcPr>
            <w:tcW w:type="dxa" w:w="16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Observation (in DiagnosticReport)</w:t>
            </w:r>
          </w:p>
        </w:tc>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DiagnosticReportLab</w:t>
            </w:r>
          </w:p>
        </w:tc>
        <w:tc>
          <w:tcPr>
            <w:tcW w:type="dxa" w:w="1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LOINC</w:t>
            </w:r>
          </w:p>
        </w:tc>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33914-3 (eGFR/1.73 sq M.predicted by Creatinine-based formula)</w:t>
            </w:r>
          </w:p>
        </w:tc>
        <w:tc>
          <w:tcPr>
            <w:tcW w:type="dxa" w:w="44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Critical for CKD staging. Always from lab. eGFR slope calculation done by KB-26, not ingestion service. Ingestion just delivers the point value.</w:t>
            </w:r>
          </w:p>
        </w:tc>
      </w:tr>
      <w:tr>
        <w:tc>
          <w:tcPr>
            <w:tcW w:type="dxa" w:w="18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Steps / Physical Activity</w:t>
            </w:r>
          </w:p>
        </w:tc>
        <w:tc>
          <w:tcPr>
            <w:tcW w:type="dxa" w:w="16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Observation</w:t>
            </w:r>
          </w:p>
        </w:tc>
        <w:tc>
          <w:tcPr>
            <w:tcW w:type="dxa" w:w="20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WellnessRecord (ABDM)</w:t>
            </w:r>
          </w:p>
        </w:tc>
        <w:tc>
          <w:tcPr>
            <w:tcW w:type="dxa" w:w="1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LOINC</w:t>
            </w:r>
          </w:p>
        </w:tc>
        <w:tc>
          <w:tcPr>
            <w:tcW w:type="dxa" w:w="2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41950-7 (Number of steps in 24 hour Measured)</w:t>
            </w:r>
          </w:p>
        </w:tc>
        <w:tc>
          <w:tcPr>
            <w:tcW w:type="dxa" w:w="448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Aggregated daily from wearable or self-reported. Published as ABDM WellnessRecord artifact. Open mHealth physical-activity schema as intermediate.</w:t>
            </w:r>
          </w:p>
        </w:tc>
      </w:tr>
      <w:tr>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Weight / Waist / BMI</w:t>
            </w:r>
          </w:p>
        </w:tc>
        <w:tc>
          <w:tcPr>
            <w:tcW w:type="dxa" w:w="16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Observation</w:t>
            </w:r>
          </w:p>
        </w:tc>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ObservationVitalSigns</w:t>
            </w:r>
          </w:p>
        </w:tc>
        <w:tc>
          <w:tcPr>
            <w:tcW w:type="dxa" w:w="1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LOINC</w:t>
            </w:r>
          </w:p>
        </w:tc>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29463-7 (Body weight), 8280-0 (Waist circumference), 39156-5 (BMI)</w:t>
            </w:r>
          </w:p>
        </w:tc>
        <w:tc>
          <w:tcPr>
            <w:tcW w:type="dxa" w:w="44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Waist is critical for body composition domain in MRI. Self-measured waist has known error range (+/- 3cm). Quality score reflects this.</w:t>
            </w:r>
          </w:p>
        </w:tc>
      </w:tr>
      <w:tr>
        <w:tc>
          <w:tcPr>
            <w:tcW w:type="dxa" w:w="18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Sleep Quality</w:t>
            </w:r>
          </w:p>
        </w:tc>
        <w:tc>
          <w:tcPr>
            <w:tcW w:type="dxa" w:w="16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Observation</w:t>
            </w:r>
          </w:p>
        </w:tc>
        <w:tc>
          <w:tcPr>
            <w:tcW w:type="dxa" w:w="20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WellnessRecord</w:t>
            </w:r>
          </w:p>
        </w:tc>
        <w:tc>
          <w:tcPr>
            <w:tcW w:type="dxa" w:w="1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SNOMED CT</w:t>
            </w:r>
          </w:p>
        </w:tc>
        <w:tc>
          <w:tcPr>
            <w:tcW w:type="dxa" w:w="2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258158006 (Sleep quality finding)</w:t>
            </w:r>
          </w:p>
        </w:tc>
        <w:tc>
          <w:tcPr>
            <w:tcW w:type="dxa" w:w="448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Categorical: good/moderate/poor from self-report or wearable sleep score. If from wearable: include duration, stages, efficiency as components.</w:t>
            </w:r>
          </w:p>
        </w:tc>
      </w:tr>
      <w:tr>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Medication Adherence</w:t>
            </w:r>
          </w:p>
        </w:tc>
        <w:tc>
          <w:tcPr>
            <w:tcW w:type="dxa" w:w="16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MedicationStatement</w:t>
            </w:r>
          </w:p>
        </w:tc>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PrescriptionRecord (related)</w:t>
            </w:r>
          </w:p>
        </w:tc>
        <w:tc>
          <w:tcPr>
            <w:tcW w:type="dxa" w:w="1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SNOMED CT + RxNorm</w:t>
            </w:r>
          </w:p>
        </w:tc>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N/A (MedicationStatement.status = active/completed/not-taken)</w:t>
            </w:r>
          </w:p>
        </w:tc>
        <w:tc>
          <w:tcPr>
            <w:tcW w:type="dxa" w:w="44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Self-reported via app checkin or WhatsApp confirmation. Binary per-dose: taken/not-taken. Feeds KB-21 adherence scoring.</w:t>
            </w:r>
          </w:p>
        </w:tc>
      </w:tr>
      <w:tr>
        <w:tc>
          <w:tcPr>
            <w:tcW w:type="dxa" w:w="18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Symptoms (HPI)</w:t>
            </w:r>
          </w:p>
        </w:tc>
        <w:tc>
          <w:tcPr>
            <w:tcW w:type="dxa" w:w="16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Condition</w:t>
            </w:r>
          </w:p>
        </w:tc>
        <w:tc>
          <w:tcPr>
            <w:tcW w:type="dxa" w:w="20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OPConsultRecord (related)</w:t>
            </w:r>
          </w:p>
        </w:tc>
        <w:tc>
          <w:tcPr>
            <w:tcW w:type="dxa" w:w="1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SNOMED CT + ICD-10</w:t>
            </w:r>
          </w:p>
        </w:tc>
        <w:tc>
          <w:tcPr>
            <w:tcW w:type="dxa" w:w="2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N/A (Condition.code from SNOMED: 267036007 Fatigue, 162214009 Polyuria, etc.)</w:t>
            </w:r>
          </w:p>
        </w:tc>
        <w:tc>
          <w:tcPr>
            <w:tcW w:type="dxa" w:w="448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Mapped from HPI slot-value pairs. Onset, severity, and duration captured as Condition properties. Reviewed by physician via KB-23 Decision Card.</w:t>
            </w:r>
          </w:p>
        </w:tc>
      </w:tr>
      <w:tr>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CGM Glucose (Aggregated)</w:t>
            </w:r>
          </w:p>
        </w:tc>
        <w:tc>
          <w:tcPr>
            <w:tcW w:type="dxa" w:w="16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Observation</w:t>
            </w:r>
          </w:p>
        </w:tc>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WellnessRecord</w:t>
            </w:r>
          </w:p>
        </w:tc>
        <w:tc>
          <w:tcPr>
            <w:tcW w:type="dxa" w:w="1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LOINC</w:t>
            </w:r>
          </w:p>
        </w:tc>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97507-8 (Mean glucose [Mass/volume] in Blood Calculated), custom for TIR/TAR/TBR</w:t>
            </w:r>
          </w:p>
        </w:tc>
        <w:tc>
          <w:tcPr>
            <w:tcW w:type="dxa" w:w="44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Daily aggregates from CGM, not raw 5-min readings. TIR, TAR, TBR, CV, MAG, Mean as separate Observation resources or components of a single Observation.</w:t>
            </w:r>
          </w:p>
        </w:tc>
      </w:tr>
      <w:tr>
        <w:tc>
          <w:tcPr>
            <w:tcW w:type="dxa" w:w="18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MRI Score (Outbound HIP)</w:t>
            </w:r>
          </w:p>
        </w:tc>
        <w:tc>
          <w:tcPr>
            <w:tcW w:type="dxa" w:w="16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Observation (in Composition)</w:t>
            </w:r>
          </w:p>
        </w:tc>
        <w:tc>
          <w:tcPr>
            <w:tcW w:type="dxa" w:w="20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WellnessRecord</w:t>
            </w:r>
          </w:p>
        </w:tc>
        <w:tc>
          <w:tcPr>
            <w:tcW w:type="dxa" w:w="1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Custom Vaidshala CodeSystem (registered with NRCeS)</w:t>
            </w:r>
          </w:p>
        </w:tc>
        <w:tc>
          <w:tcPr>
            <w:tcW w:type="dxa" w:w="2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N/A (custom code: vaidshala-mri-score)</w:t>
            </w:r>
          </w:p>
        </w:tc>
        <w:tc>
          <w:tcPr>
            <w:tcW w:type="dxa" w:w="448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Published TO ABDM as HIP. Patient’s MRI score shared with other providers via ABDM consent framework. Wrapped in WellnessRecord Composition.</w:t>
            </w:r>
          </w:p>
        </w:tc>
      </w:tr>
    </w:tbl>
    <w:p>
      <w:r>
        <w:br w:type="page"/>
      </w:r>
    </w:p>
    <w:p>
      <w:pPr>
        <w:pStyle w:val="Heading1"/>
        <w:spacing w:after="200" w:before="400"/>
      </w:pPr>
      <w:r>
        <w:rPr>
          <w:rFonts w:ascii="Arial" w:cs="Arial" w:eastAsia="Arial" w:hAnsi="Arial"/>
          <w:b/>
          <w:bCs/>
          <w:color w:val="1B3A5C"/>
          <w:sz w:val="30"/>
          <w:szCs w:val="30"/>
        </w:rPr>
        <w:t xml:space="preserve">7. Error Handling, Dead Letter Queue &amp; Data Quality</w:t>
      </w:r>
    </w:p>
    <w:p>
      <w:pPr>
        <w:spacing w:after="60"/>
      </w:pPr>
    </w:p>
    <w:p>
      <w:pPr>
        <w:pStyle w:val="Heading2"/>
        <w:spacing w:after="140" w:before="280"/>
      </w:pPr>
      <w:r>
        <w:rPr>
          <w:rFonts w:ascii="Arial" w:cs="Arial" w:eastAsia="Arial" w:hAnsi="Arial"/>
          <w:b/>
          <w:bCs/>
          <w:color w:val="2E75B6"/>
          <w:sz w:val="24"/>
          <w:szCs w:val="24"/>
        </w:rPr>
        <w:t xml:space="preserve">7.1 Error Classification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800"/>
        <w:gridCol w:w="800"/>
        <w:gridCol w:w="3680"/>
      </w:tblGrid>
      <w:tr>
        <w:tc>
          <w:tcPr>
            <w:tcW w:type="dxa" w:w="200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Error Class</w:t>
            </w:r>
          </w:p>
        </w:tc>
        <w:tc>
          <w:tcPr>
            <w:tcW w:type="dxa" w:w="340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Example</w:t>
            </w:r>
          </w:p>
        </w:tc>
        <w:tc>
          <w:tcPr>
            <w:tcW w:type="dxa" w:w="380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Action</w:t>
            </w:r>
          </w:p>
        </w:tc>
        <w:tc>
          <w:tcPr>
            <w:tcW w:type="dxa" w:w="80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DLQ?</w:t>
            </w:r>
          </w:p>
        </w:tc>
        <w:tc>
          <w:tcPr>
            <w:tcW w:type="dxa" w:w="368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Alert?</w:t>
            </w:r>
          </w:p>
        </w:tc>
      </w:tr>
      <w:tr>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Transport Error</w:t>
            </w:r>
          </w:p>
        </w:tc>
        <w:tc>
          <w:tcPr>
            <w:tcW w:type="dxa" w:w="3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MLLP connection drop, SFTP unreachable, ABDM gateway timeout</w:t>
            </w:r>
          </w:p>
        </w:tc>
        <w:tc>
          <w:tcPr>
            <w:tcW w:type="dxa" w:w="3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Retry with exponential backoff (3 attempts). Log transport metrics. If persistent: alert SRE.</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No (retry handles)</w:t>
            </w:r>
          </w:p>
        </w:tc>
        <w:tc>
          <w:tcPr>
            <w:tcW w:type="dxa" w:w="36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After 3 consecutive failures per source</w:t>
            </w:r>
          </w:p>
        </w:tc>
      </w:tr>
      <w:tr>
        <w:tc>
          <w:tcPr>
            <w:tcW w:type="dxa" w:w="20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Parse Error</w:t>
            </w:r>
          </w:p>
        </w:tc>
        <w:tc>
          <w:tcPr>
            <w:tcW w:type="dxa" w:w="3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Malformed HL7 v2 (missing MSH), invalid JSON, CSV column mismatch</w:t>
            </w:r>
          </w:p>
        </w:tc>
        <w:tc>
          <w:tcPr>
            <w:tcW w:type="dxa" w:w="38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Reject to DLQ with original raw bytes + parse error details. Cannot proceed without structured data.</w:t>
            </w:r>
          </w:p>
        </w:tc>
        <w:tc>
          <w:tcPr>
            <w:tcW w:type="dxa" w:w="8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Yes</w:t>
            </w:r>
          </w:p>
        </w:tc>
        <w:tc>
          <w:tcPr>
            <w:tcW w:type="dxa" w:w="368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Batch alert (hourly summary of DLQ entries by source)</w:t>
            </w:r>
          </w:p>
        </w:tc>
      </w:tr>
      <w:tr>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Normalization Error</w:t>
            </w:r>
          </w:p>
        </w:tc>
        <w:tc>
          <w:tcPr>
            <w:tcW w:type="dxa" w:w="3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Unknown patient (no ABHA/phone match), unmapped lab code, unrecognized unit</w:t>
            </w:r>
          </w:p>
        </w:tc>
        <w:tc>
          <w:tcPr>
            <w:tcW w:type="dxa" w:w="3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Patient not found: hold in pending queue 24hr, retry resolution. Unknown code: flag UNMAPPED, proceed with raw code. Unknown unit: reject to DLQ.</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Conditional</w:t>
            </w:r>
          </w:p>
        </w:tc>
        <w:tc>
          <w:tcPr>
            <w:tcW w:type="dxa" w:w="36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Unknown patient: after 24hr unresolved. Unmapped code: batch alert for clinical informatics team</w:t>
            </w:r>
          </w:p>
        </w:tc>
      </w:tr>
      <w:tr>
        <w:tc>
          <w:tcPr>
            <w:tcW w:type="dxa" w:w="20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Validation Error</w:t>
            </w:r>
          </w:p>
        </w:tc>
        <w:tc>
          <w:tcPr>
            <w:tcW w:type="dxa" w:w="3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Value out of physiological range, missing required field, referential integrity failure</w:t>
            </w:r>
          </w:p>
        </w:tc>
        <w:tc>
          <w:tcPr>
            <w:tcW w:type="dxa" w:w="38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Out of range: flag IMPLAUSIBLE, publish anyway (KB decides). Missing field: reject to DLQ. Referential failure: pending queue.</w:t>
            </w:r>
          </w:p>
        </w:tc>
        <w:tc>
          <w:tcPr>
            <w:tcW w:type="dxa" w:w="8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Conditional</w:t>
            </w:r>
          </w:p>
        </w:tc>
        <w:tc>
          <w:tcPr>
            <w:tcW w:type="dxa" w:w="368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Critical value triggers immediate alert regardless of validation</w:t>
            </w:r>
          </w:p>
        </w:tc>
      </w:tr>
      <w:tr>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FHIR Mapping Error</w:t>
            </w:r>
          </w:p>
        </w:tc>
        <w:tc>
          <w:tcPr>
            <w:tcW w:type="dxa" w:w="3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StructureDefinition violation, missing ABDM-required extension, invalid coding</w:t>
            </w:r>
          </w:p>
        </w:tc>
        <w:tc>
          <w:tcPr>
            <w:tcW w:type="dxa" w:w="3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Attempt auto-correction. If still failing: publish canonical format (bypass FHIR), flag for manual review.</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No (graceful degradation)</w:t>
            </w:r>
          </w:p>
        </w:tc>
        <w:tc>
          <w:tcPr>
            <w:tcW w:type="dxa" w:w="36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Batch alert for FHIR mapping failures</w:t>
            </w:r>
          </w:p>
        </w:tc>
      </w:tr>
      <w:tr>
        <w:tc>
          <w:tcPr>
            <w:tcW w:type="dxa" w:w="20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Kafka Publish Error</w:t>
            </w:r>
          </w:p>
        </w:tc>
        <w:tc>
          <w:tcPr>
            <w:tcW w:type="dxa" w:w="3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Broker unavailable, topic not found, message too large</w:t>
            </w:r>
          </w:p>
        </w:tc>
        <w:tc>
          <w:tcPr>
            <w:tcW w:type="dxa" w:w="38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Retry 3x with backoff. Failover to local WAL. Background retry every 30s from WAL.</w:t>
            </w:r>
          </w:p>
        </w:tc>
        <w:tc>
          <w:tcPr>
            <w:tcW w:type="dxa" w:w="8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WAL (not DLQ)</w:t>
            </w:r>
          </w:p>
        </w:tc>
        <w:tc>
          <w:tcPr>
            <w:tcW w:type="dxa" w:w="368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After 5 min of continuous WAL accumulation</w:t>
            </w:r>
          </w:p>
        </w:tc>
      </w:tr>
      <w:tr>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ABDM Consent Error</w:t>
            </w:r>
          </w:p>
        </w:tc>
        <w:tc>
          <w:tcPr>
            <w:tcW w:type="dxa" w:w="3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Consent expired, consent revoked, consent scope mismatch</w:t>
            </w:r>
          </w:p>
        </w:tc>
        <w:tc>
          <w:tcPr>
            <w:tcW w:type="dxa" w:w="3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Reject data request. Do not persist or process. Log consent violation for audit.</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No (compliance rejection)</w:t>
            </w:r>
          </w:p>
        </w:tc>
        <w:tc>
          <w:tcPr>
            <w:tcW w:type="dxa" w:w="36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Immediate alert to compliance team</w:t>
            </w:r>
          </w:p>
        </w:tc>
      </w:tr>
    </w:tbl>
    <w:p>
      <w:pPr>
        <w:spacing w:after="60"/>
      </w:pPr>
    </w:p>
    <w:p>
      <w:pPr>
        <w:pStyle w:val="Heading2"/>
        <w:spacing w:after="140" w:before="280"/>
      </w:pPr>
      <w:r>
        <w:rPr>
          <w:rFonts w:ascii="Arial" w:cs="Arial" w:eastAsia="Arial" w:hAnsi="Arial"/>
          <w:b/>
          <w:bCs/>
          <w:color w:val="2E75B6"/>
          <w:sz w:val="24"/>
          <w:szCs w:val="24"/>
        </w:rPr>
        <w:t xml:space="preserve">7.2 Dead Letter Queue Design</w:t>
      </w:r>
    </w:p>
    <w:p>
      <w:pPr>
        <w:spacing w:after="80"/>
      </w:pPr>
      <w:r>
        <w:rPr>
          <w:rFonts w:ascii="Arial" w:cs="Arial" w:eastAsia="Arial" w:hAnsi="Arial"/>
          <w:b/>
          <w:bCs/>
          <w:color w:val="1B3A5C"/>
          <w:sz w:val="20"/>
          <w:szCs w:val="20"/>
        </w:rPr>
        <w:t xml:space="preserve">Kafka Topic: </w:t>
      </w:r>
      <w:r>
        <w:rPr>
          <w:rFonts w:ascii="Arial" w:cs="Arial" w:eastAsia="Arial" w:hAnsi="Arial"/>
          <w:color w:val="546E7A"/>
          <w:sz w:val="20"/>
          <w:szCs w:val="20"/>
        </w:rPr>
        <w:t xml:space="preserve">ingestion.dlq (separate from main ingestion topics)</w:t>
      </w:r>
    </w:p>
    <w:p>
      <w:pPr>
        <w:spacing w:after="80"/>
      </w:pPr>
      <w:r>
        <w:rPr>
          <w:rFonts w:ascii="Arial" w:cs="Arial" w:eastAsia="Arial" w:hAnsi="Arial"/>
          <w:b/>
          <w:bCs/>
          <w:color w:val="1B3A5C"/>
          <w:sz w:val="20"/>
          <w:szCs w:val="20"/>
        </w:rPr>
        <w:t xml:space="preserve">Message Format: </w:t>
      </w:r>
      <w:r>
        <w:rPr>
          <w:rFonts w:ascii="Arial" w:cs="Arial" w:eastAsia="Arial" w:hAnsi="Arial"/>
          <w:color w:val="546E7A"/>
          <w:sz w:val="20"/>
          <w:szCs w:val="20"/>
        </w:rPr>
        <w:t xml:space="preserve">{ originalMessage (raw bytes, base64), errorClass, errorDetails, sourceType, sourceId, receivedAt, retryCount, lastRetryAt, resolution (pending | resolved | discarded) }</w:t>
      </w:r>
    </w:p>
    <w:p>
      <w:pPr>
        <w:spacing w:after="80"/>
      </w:pPr>
      <w:r>
        <w:rPr>
          <w:rFonts w:ascii="Arial" w:cs="Arial" w:eastAsia="Arial" w:hAnsi="Arial"/>
          <w:b/>
          <w:bCs/>
          <w:color w:val="1B3A5C"/>
          <w:sz w:val="20"/>
          <w:szCs w:val="20"/>
        </w:rPr>
        <w:t xml:space="preserve">Resolution Workflow: </w:t>
      </w:r>
      <w:r>
        <w:rPr>
          <w:rFonts w:ascii="Arial" w:cs="Arial" w:eastAsia="Arial" w:hAnsi="Arial"/>
          <w:color w:val="546E7A"/>
          <w:sz w:val="20"/>
          <w:szCs w:val="20"/>
        </w:rPr>
        <w:t xml:space="preserve">DLQ dashboard (admin tool) displays unresolved messages grouped by error class. Clinical informatics team resolves unmapped codes (adds mapping, replays message). SRE resolves transport/infrastructure errors. Pharmacist resolves patient-not-found (verifies phone/ABHA, links patient). Resolved messages are replayed through the pipeline from the failed stage.</w:t>
      </w:r>
    </w:p>
    <w:p>
      <w:pPr>
        <w:spacing w:after="80"/>
      </w:pPr>
      <w:r>
        <w:rPr>
          <w:rFonts w:ascii="Arial" w:cs="Arial" w:eastAsia="Arial" w:hAnsi="Arial"/>
          <w:b/>
          <w:bCs/>
          <w:color w:val="1B3A5C"/>
          <w:sz w:val="20"/>
          <w:szCs w:val="20"/>
        </w:rPr>
        <w:t xml:space="preserve">Retention: </w:t>
      </w:r>
      <w:r>
        <w:rPr>
          <w:rFonts w:ascii="Arial" w:cs="Arial" w:eastAsia="Arial" w:hAnsi="Arial"/>
          <w:color w:val="546E7A"/>
          <w:sz w:val="20"/>
          <w:szCs w:val="20"/>
        </w:rPr>
        <w:t xml:space="preserve">DLQ messages retained for 90 days. Unresolved messages after 90 days are escalated to medical director for disposition (discard or manual entry).</w:t>
      </w:r>
    </w:p>
    <w:p>
      <w:r>
        <w:br w:type="page"/>
      </w:r>
    </w:p>
    <w:p>
      <w:pPr>
        <w:pStyle w:val="Heading1"/>
        <w:spacing w:after="200" w:before="400"/>
      </w:pPr>
      <w:r>
        <w:rPr>
          <w:rFonts w:ascii="Arial" w:cs="Arial" w:eastAsia="Arial" w:hAnsi="Arial"/>
          <w:b/>
          <w:bCs/>
          <w:color w:val="1B3A5C"/>
          <w:sz w:val="30"/>
          <w:szCs w:val="30"/>
        </w:rPr>
        <w:t xml:space="preserve">8. Observability &amp; Monitoring</w:t>
      </w:r>
    </w:p>
    <w:p>
      <w:pPr>
        <w:spacing w:after="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2400"/>
        <w:gridCol w:w="2400"/>
        <w:gridCol w:w="5280"/>
      </w:tblGrid>
      <w:tr>
        <w:tc>
          <w:tcPr>
            <w:tcW w:type="dxa" w:w="260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Metric</w:t>
            </w:r>
          </w:p>
        </w:tc>
        <w:tc>
          <w:tcPr>
            <w:tcW w:type="dxa" w:w="100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Type</w:t>
            </w:r>
          </w:p>
        </w:tc>
        <w:tc>
          <w:tcPr>
            <w:tcW w:type="dxa" w:w="240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Labels</w:t>
            </w:r>
          </w:p>
        </w:tc>
        <w:tc>
          <w:tcPr>
            <w:tcW w:type="dxa" w:w="240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Alert Threshold</w:t>
            </w:r>
          </w:p>
        </w:tc>
        <w:tc>
          <w:tcPr>
            <w:tcW w:type="dxa" w:w="528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Purpose</w:t>
            </w:r>
          </w:p>
        </w:tc>
      </w:tr>
      <w:tr>
        <w:tc>
          <w:tcPr>
            <w:tcW w:type="dxa" w:w="26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ingestion_messages_received_total</w:t>
            </w:r>
          </w:p>
        </w:tc>
        <w:tc>
          <w:tcPr>
            <w:tcW w:type="dxa" w:w="1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Counter</w:t>
            </w:r>
          </w:p>
        </w:tc>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source_type, source_id, tenant_id</w:t>
            </w:r>
          </w:p>
        </w:tc>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N/A (monitoring only)</w:t>
            </w:r>
          </w:p>
        </w:tc>
        <w:tc>
          <w:tcPr>
            <w:tcW w:type="dxa" w:w="52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Volume tracking per source. Detects when a lab stops sending results (drop to zero).</w:t>
            </w:r>
          </w:p>
        </w:tc>
      </w:tr>
      <w:tr>
        <w:tc>
          <w:tcPr>
            <w:tcW w:type="dxa" w:w="26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ingestion_messages_processed_total</w:t>
            </w:r>
          </w:p>
        </w:tc>
        <w:tc>
          <w:tcPr>
            <w:tcW w:type="dxa" w:w="10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Counter</w:t>
            </w:r>
          </w:p>
        </w:tc>
        <w:tc>
          <w:tcPr>
            <w:tcW w:type="dxa" w:w="2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source_type, stage, status (success|error|dlq)</w:t>
            </w:r>
          </w:p>
        </w:tc>
        <w:tc>
          <w:tcPr>
            <w:tcW w:type="dxa" w:w="2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error rate &gt; 5% per source</w:t>
            </w:r>
          </w:p>
        </w:tc>
        <w:tc>
          <w:tcPr>
            <w:tcW w:type="dxa" w:w="528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Success/failure rate per pipeline stage. High error rate at parse stage = source format change.</w:t>
            </w:r>
          </w:p>
        </w:tc>
      </w:tr>
      <w:tr>
        <w:tc>
          <w:tcPr>
            <w:tcW w:type="dxa" w:w="26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ingestion_pipeline_duration_seconds</w:t>
            </w:r>
          </w:p>
        </w:tc>
        <w:tc>
          <w:tcPr>
            <w:tcW w:type="dxa" w:w="1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Histogram</w:t>
            </w:r>
          </w:p>
        </w:tc>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source_type, stage</w:t>
            </w:r>
          </w:p>
        </w:tc>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P99 &gt; 5s for any stage</w:t>
            </w:r>
          </w:p>
        </w:tc>
        <w:tc>
          <w:tcPr>
            <w:tcW w:type="dxa" w:w="52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Latency per pipeline stage. Parser stage should be &lt;100ms. FHIR mapper &lt;500ms. Kafka publish &lt;200ms.</w:t>
            </w:r>
          </w:p>
        </w:tc>
      </w:tr>
      <w:tr>
        <w:tc>
          <w:tcPr>
            <w:tcW w:type="dxa" w:w="26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ingestion_critical_values_total</w:t>
            </w:r>
          </w:p>
        </w:tc>
        <w:tc>
          <w:tcPr>
            <w:tcW w:type="dxa" w:w="10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Counter</w:t>
            </w:r>
          </w:p>
        </w:tc>
        <w:tc>
          <w:tcPr>
            <w:tcW w:type="dxa" w:w="2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observation_type, tenant_id</w:t>
            </w:r>
          </w:p>
        </w:tc>
        <w:tc>
          <w:tcPr>
            <w:tcW w:type="dxa" w:w="2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Any increment (always alert)</w:t>
            </w:r>
          </w:p>
        </w:tc>
        <w:tc>
          <w:tcPr>
            <w:tcW w:type="dxa" w:w="528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Critical lab value detection. Every critical value generates an immediate alert to assigned physician.</w:t>
            </w:r>
          </w:p>
        </w:tc>
      </w:tr>
      <w:tr>
        <w:tc>
          <w:tcPr>
            <w:tcW w:type="dxa" w:w="26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ingestion_dlq_messages_total</w:t>
            </w:r>
          </w:p>
        </w:tc>
        <w:tc>
          <w:tcPr>
            <w:tcW w:type="dxa" w:w="1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Counter</w:t>
            </w:r>
          </w:p>
        </w:tc>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error_class, source_type</w:t>
            </w:r>
          </w:p>
        </w:tc>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&gt; 50 per hour</w:t>
            </w:r>
          </w:p>
        </w:tc>
        <w:tc>
          <w:tcPr>
            <w:tcW w:type="dxa" w:w="52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DLQ volume. Spike indicates systematic source problem (lab changed format, ABDM API change).</w:t>
            </w:r>
          </w:p>
        </w:tc>
      </w:tr>
      <w:tr>
        <w:tc>
          <w:tcPr>
            <w:tcW w:type="dxa" w:w="26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ingestion_wal_messages_pending</w:t>
            </w:r>
          </w:p>
        </w:tc>
        <w:tc>
          <w:tcPr>
            <w:tcW w:type="dxa" w:w="10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Gauge</w:t>
            </w:r>
          </w:p>
        </w:tc>
        <w:tc>
          <w:tcPr>
            <w:tcW w:type="dxa" w:w="2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N/A</w:t>
            </w:r>
          </w:p>
        </w:tc>
        <w:tc>
          <w:tcPr>
            <w:tcW w:type="dxa" w:w="2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&gt; 0 for &gt; 5 minutes</w:t>
            </w:r>
          </w:p>
        </w:tc>
        <w:tc>
          <w:tcPr>
            <w:tcW w:type="dxa" w:w="528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WAL accumulation indicates Kafka connectivity problem. Should be zero under normal operations.</w:t>
            </w:r>
          </w:p>
        </w:tc>
      </w:tr>
      <w:tr>
        <w:tc>
          <w:tcPr>
            <w:tcW w:type="dxa" w:w="26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ingestion_patient_resolution_pending</w:t>
            </w:r>
          </w:p>
        </w:tc>
        <w:tc>
          <w:tcPr>
            <w:tcW w:type="dxa" w:w="1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Gauge</w:t>
            </w:r>
          </w:p>
        </w:tc>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tenant_id</w:t>
            </w:r>
          </w:p>
        </w:tc>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&gt; 20 pending &gt; 24 hours</w:t>
            </w:r>
          </w:p>
        </w:tc>
        <w:tc>
          <w:tcPr>
            <w:tcW w:type="dxa" w:w="52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Unresolved patient identities. High count = enrollment process problem or missing phone/ABHA mappings.</w:t>
            </w:r>
          </w:p>
        </w:tc>
      </w:tr>
      <w:tr>
        <w:tc>
          <w:tcPr>
            <w:tcW w:type="dxa" w:w="26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ingestion_abdm_consent_operations_total</w:t>
            </w:r>
          </w:p>
        </w:tc>
        <w:tc>
          <w:tcPr>
            <w:tcW w:type="dxa" w:w="10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Counter</w:t>
            </w:r>
          </w:p>
        </w:tc>
        <w:tc>
          <w:tcPr>
            <w:tcW w:type="dxa" w:w="2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operation (request|grant|revoke|expire), status</w:t>
            </w:r>
          </w:p>
        </w:tc>
        <w:tc>
          <w:tcPr>
            <w:tcW w:type="dxa" w:w="2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revoke rate &gt; 10%</w:t>
            </w:r>
          </w:p>
        </w:tc>
        <w:tc>
          <w:tcPr>
            <w:tcW w:type="dxa" w:w="528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ABDM consent lifecycle tracking. High revocation rate may indicate patient trust issues.</w:t>
            </w:r>
          </w:p>
        </w:tc>
      </w:tr>
      <w:tr>
        <w:tc>
          <w:tcPr>
            <w:tcW w:type="dxa" w:w="26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ingestion_fhir_validation_failures_total</w:t>
            </w:r>
          </w:p>
        </w:tc>
        <w:tc>
          <w:tcPr>
            <w:tcW w:type="dxa" w:w="1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Counter</w:t>
            </w:r>
          </w:p>
        </w:tc>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profile, violation_type</w:t>
            </w:r>
          </w:p>
        </w:tc>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&gt; 20 per hour</w:t>
            </w:r>
          </w:p>
        </w:tc>
        <w:tc>
          <w:tcPr>
            <w:tcW w:type="dxa" w:w="52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FHIR conformance tracking. Spike indicates mapping logic bug or IG version mismatch.</w:t>
            </w:r>
          </w:p>
        </w:tc>
      </w:tr>
      <w:tr>
        <w:tc>
          <w:tcPr>
            <w:tcW w:type="dxa" w:w="26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ingestion_source_freshness_seconds</w:t>
            </w:r>
          </w:p>
        </w:tc>
        <w:tc>
          <w:tcPr>
            <w:tcW w:type="dxa" w:w="10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Gauge</w:t>
            </w:r>
          </w:p>
        </w:tc>
        <w:tc>
          <w:tcPr>
            <w:tcW w:type="dxa" w:w="2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source_type, source_id</w:t>
            </w:r>
          </w:p>
        </w:tc>
        <w:tc>
          <w:tcPr>
            <w:tcW w:type="dxa" w:w="2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&gt; 3600s (1 hour) for active source</w:t>
            </w:r>
          </w:p>
        </w:tc>
        <w:tc>
          <w:tcPr>
            <w:tcW w:type="dxa" w:w="528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Time since last message from each source. Detects silent failures (lab API stopped sending without error).</w:t>
            </w:r>
          </w:p>
        </w:tc>
      </w:tr>
    </w:tbl>
    <w:p>
      <w:pPr>
        <w:spacing w:after="60"/>
      </w:pPr>
    </w:p>
    <w:p>
      <w:pPr>
        <w:pBdr>
          <w:left w:val="single" w:color="2E7D32" w:sz="12" w:space="8"/>
        </w:pBdr>
        <w:shd w:fill="E8F5E9" w:val="clear"/>
        <w:spacing w:after="100" w:before="100"/>
      </w:pPr>
      <w:r>
        <w:rPr>
          <w:rFonts w:ascii="Arial" w:cs="Arial" w:eastAsia="Arial" w:hAnsi="Arial"/>
          <w:color w:val="37474F"/>
          <w:sz w:val="19"/>
          <w:szCs w:val="19"/>
        </w:rPr>
        <w:t xml:space="preserve">All metrics exposed via Prometheus /metrics endpoint. Grafana dashboards: (1) Ingestion Overview (message volume, error rates, latency heatmap), (2) Per-Source Health (freshness, volume, DLQ by source), (3) ABDM Compliance (consent operations, FHIR validation, HIP/HIU transaction volumes), (4) Critical Values (real-time feed of critical lab detections). OpenTelemetry tracing: each message gets a trace ID at receive time, propagated through all 6 pipeline stages and into Kafka message headers for end-to-end tracing into KB services.</w:t>
      </w:r>
    </w:p>
    <w:p>
      <w:r>
        <w:br w:type="page"/>
      </w:r>
    </w:p>
    <w:p>
      <w:pPr>
        <w:pStyle w:val="Heading1"/>
        <w:spacing w:after="200" w:before="400"/>
      </w:pPr>
      <w:r>
        <w:rPr>
          <w:rFonts w:ascii="Arial" w:cs="Arial" w:eastAsia="Arial" w:hAnsi="Arial"/>
          <w:b/>
          <w:bCs/>
          <w:color w:val="1B3A5C"/>
          <w:sz w:val="30"/>
          <w:szCs w:val="30"/>
        </w:rPr>
        <w:t xml:space="preserve">9. Go Service Architecture</w:t>
      </w:r>
    </w:p>
    <w:p>
      <w:pPr>
        <w:spacing w:after="60"/>
      </w:pPr>
    </w:p>
    <w:p>
      <w:pPr>
        <w:pStyle w:val="Heading2"/>
        <w:spacing w:after="140" w:before="280"/>
      </w:pPr>
      <w:r>
        <w:rPr>
          <w:rFonts w:ascii="Arial" w:cs="Arial" w:eastAsia="Arial" w:hAnsi="Arial"/>
          <w:b/>
          <w:bCs/>
          <w:color w:val="2E75B6"/>
          <w:sz w:val="24"/>
          <w:szCs w:val="24"/>
        </w:rPr>
        <w:t xml:space="preserve">9.1 Module Structure</w:t>
      </w:r>
    </w:p>
    <w:p>
      <w:pPr>
        <w:spacing w:after="120"/>
      </w:pPr>
      <w:r>
        <w:rPr>
          <w:rFonts w:ascii="Arial" w:cs="Arial" w:eastAsia="Arial" w:hAnsi="Arial"/>
          <w:color w:val="546E7A"/>
          <w:sz w:val="20"/>
          <w:szCs w:val="20"/>
        </w:rPr>
        <w:t xml:space="preserve">cmd/ingestion/main.go — Entry point. Initializes config, adapters, pipeline, Kafka producer, metrics server.</w:t>
      </w:r>
    </w:p>
    <w:p>
      <w:pPr>
        <w:spacing w:after="120"/>
      </w:pPr>
      <w:r>
        <w:rPr>
          <w:rFonts w:ascii="Arial" w:cs="Arial" w:eastAsia="Arial" w:hAnsi="Arial"/>
          <w:color w:val="546E7A"/>
          <w:sz w:val="20"/>
          <w:szCs w:val="20"/>
        </w:rPr>
        <w:t xml:space="preserve">internal/adapters/ — Per-source adapter modules (ehr/, abdm/, labs/, patient_reported/, hpi/, devices/, wearables/)</w:t>
      </w:r>
    </w:p>
    <w:p>
      <w:pPr>
        <w:spacing w:after="120"/>
      </w:pPr>
      <w:r>
        <w:rPr>
          <w:rFonts w:ascii="Arial" w:cs="Arial" w:eastAsia="Arial" w:hAnsi="Arial"/>
          <w:color w:val="546E7A"/>
          <w:sz w:val="20"/>
          <w:szCs w:val="20"/>
        </w:rPr>
        <w:t xml:space="preserve">internal/pipeline/ — Pipeline stage implementations (receiver.go, parser.go, normalizer.go, validator.go, mapper.go, router.go)</w:t>
      </w:r>
    </w:p>
    <w:p>
      <w:pPr>
        <w:spacing w:after="120"/>
      </w:pPr>
      <w:r>
        <w:rPr>
          <w:rFonts w:ascii="Arial" w:cs="Arial" w:eastAsia="Arial" w:hAnsi="Arial"/>
          <w:color w:val="546E7A"/>
          <w:sz w:val="20"/>
          <w:szCs w:val="20"/>
        </w:rPr>
        <w:t xml:space="preserve">internal/canonical/ — Canonical data model structs (observation.go, context.go, flags.go)</w:t>
      </w:r>
    </w:p>
    <w:p>
      <w:pPr>
        <w:spacing w:after="120"/>
      </w:pPr>
      <w:r>
        <w:rPr>
          <w:rFonts w:ascii="Arial" w:cs="Arial" w:eastAsia="Arial" w:hAnsi="Arial"/>
          <w:color w:val="546E7A"/>
          <w:sz w:val="20"/>
          <w:szCs w:val="20"/>
        </w:rPr>
        <w:t xml:space="preserve">internal/fhir/ — FHIR R4 resource generation (observation_mapper.go, diagnostic_report_mapper.go, condition_mapper.go, medication_mapper.go, abdm_composition.go, validator.go)</w:t>
      </w:r>
    </w:p>
    <w:p>
      <w:pPr>
        <w:spacing w:after="120"/>
      </w:pPr>
      <w:r>
        <w:rPr>
          <w:rFonts w:ascii="Arial" w:cs="Arial" w:eastAsia="Arial" w:hAnsi="Arial"/>
          <w:color w:val="546E7A"/>
          <w:sz w:val="20"/>
          <w:szCs w:val="20"/>
        </w:rPr>
        <w:t xml:space="preserve">internal/coding/ — Terminology services (loinc_mapper.go, snomed_mapper.go, icd10_mapper.go, unit_converter.go, lab_code_registry.go)</w:t>
      </w:r>
    </w:p>
    <w:p>
      <w:pPr>
        <w:spacing w:after="120"/>
      </w:pPr>
      <w:r>
        <w:rPr>
          <w:rFonts w:ascii="Arial" w:cs="Arial" w:eastAsia="Arial" w:hAnsi="Arial"/>
          <w:color w:val="546E7A"/>
          <w:sz w:val="20"/>
          <w:szCs w:val="20"/>
        </w:rPr>
        <w:t xml:space="preserve">internal/patient/ — Patient identity resolution (resolver.go, abha_client.go, phone_index.go, pending_queue.go)</w:t>
      </w:r>
    </w:p>
    <w:p>
      <w:pPr>
        <w:spacing w:after="120"/>
      </w:pPr>
      <w:r>
        <w:rPr>
          <w:rFonts w:ascii="Arial" w:cs="Arial" w:eastAsia="Arial" w:hAnsi="Arial"/>
          <w:color w:val="546E7A"/>
          <w:sz w:val="20"/>
          <w:szCs w:val="20"/>
        </w:rPr>
        <w:t xml:space="preserve">internal/kafka/ — Kafka producer, topic routing, WAL (producer.go, router.go, wal.go)</w:t>
      </w:r>
    </w:p>
    <w:p>
      <w:pPr>
        <w:spacing w:after="120"/>
      </w:pPr>
      <w:r>
        <w:rPr>
          <w:rFonts w:ascii="Arial" w:cs="Arial" w:eastAsia="Arial" w:hAnsi="Arial"/>
          <w:color w:val="546E7A"/>
          <w:sz w:val="20"/>
          <w:szCs w:val="20"/>
        </w:rPr>
        <w:t xml:space="preserve">internal/dlq/ — Dead letter queue management (publisher.go, resolver.go, replay.go)</w:t>
      </w:r>
    </w:p>
    <w:p>
      <w:pPr>
        <w:spacing w:after="120"/>
      </w:pPr>
      <w:r>
        <w:rPr>
          <w:rFonts w:ascii="Arial" w:cs="Arial" w:eastAsia="Arial" w:hAnsi="Arial"/>
          <w:color w:val="546E7A"/>
          <w:sz w:val="20"/>
          <w:szCs w:val="20"/>
        </w:rPr>
        <w:t xml:space="preserve">internal/crypto/ — ABDM encryption/decryption (x25519.go, consent_verifier.go)</w:t>
      </w:r>
    </w:p>
    <w:p>
      <w:pPr>
        <w:spacing w:after="120"/>
      </w:pPr>
      <w:r>
        <w:rPr>
          <w:rFonts w:ascii="Arial" w:cs="Arial" w:eastAsia="Arial" w:hAnsi="Arial"/>
          <w:color w:val="546E7A"/>
          <w:sz w:val="20"/>
          <w:szCs w:val="20"/>
        </w:rPr>
        <w:t xml:space="preserve">internal/metrics/ — Prometheus metrics (collectors.go, server.go)</w:t>
      </w:r>
    </w:p>
    <w:p>
      <w:pPr>
        <w:spacing w:after="120"/>
      </w:pPr>
      <w:r>
        <w:rPr>
          <w:rFonts w:ascii="Arial" w:cs="Arial" w:eastAsia="Arial" w:hAnsi="Arial"/>
          <w:color w:val="546E7A"/>
          <w:sz w:val="20"/>
          <w:szCs w:val="20"/>
        </w:rPr>
        <w:t xml:space="preserve">internal/config/ — Configuration (config.go, source_registry.go, lab_templates.go)</w:t>
      </w:r>
    </w:p>
    <w:p>
      <w:pPr>
        <w:spacing w:after="60"/>
      </w:pPr>
    </w:p>
    <w:p>
      <w:pPr>
        <w:pStyle w:val="Heading2"/>
        <w:spacing w:after="140" w:before="280"/>
      </w:pPr>
      <w:r>
        <w:rPr>
          <w:rFonts w:ascii="Arial" w:cs="Arial" w:eastAsia="Arial" w:hAnsi="Arial"/>
          <w:b/>
          <w:bCs/>
          <w:color w:val="2E75B6"/>
          <w:sz w:val="24"/>
          <w:szCs w:val="24"/>
        </w:rPr>
        <w:t xml:space="preserve">9.2 Key Go Libraries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400"/>
        <w:gridCol w:w="3800"/>
        <w:gridCol w:w="6480"/>
      </w:tblGrid>
      <w:tr>
        <w:tc>
          <w:tcPr>
            <w:tcW w:type="dxa" w:w="340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Library</w:t>
            </w:r>
          </w:p>
        </w:tc>
        <w:tc>
          <w:tcPr>
            <w:tcW w:type="dxa" w:w="380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Purpose</w:t>
            </w:r>
          </w:p>
        </w:tc>
        <w:tc>
          <w:tcPr>
            <w:tcW w:type="dxa" w:w="648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Justification</w:t>
            </w:r>
          </w:p>
        </w:tc>
      </w:tr>
      <w:tr>
        <w:tc>
          <w:tcPr>
            <w:tcW w:type="dxa" w:w="3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github.com/samply/golang-fhir-models</w:t>
            </w:r>
          </w:p>
        </w:tc>
        <w:tc>
          <w:tcPr>
            <w:tcW w:type="dxa" w:w="3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FHIR R4 Go structs for all resource types</w:t>
            </w:r>
          </w:p>
        </w:tc>
        <w:tc>
          <w:tcPr>
            <w:tcW w:type="dxa" w:w="64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Auto-generated from FHIR R4 StructureDefinitions. JSON-compatible. Covers all ABDM-required resource types.</w:t>
            </w:r>
          </w:p>
        </w:tc>
      </w:tr>
      <w:tr>
        <w:tc>
          <w:tcPr>
            <w:tcW w:type="dxa" w:w="3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github.com/segmentio/kafka-go</w:t>
            </w:r>
          </w:p>
        </w:tc>
        <w:tc>
          <w:tcPr>
            <w:tcW w:type="dxa" w:w="38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Kafka producer/consumer</w:t>
            </w:r>
          </w:p>
        </w:tc>
        <w:tc>
          <w:tcPr>
            <w:tcW w:type="dxa" w:w="648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Pure Go implementation. No CGO dependency. Connection pooling, batching, compression, exactly-once semantics support.</w:t>
            </w:r>
          </w:p>
        </w:tc>
      </w:tr>
      <w:tr>
        <w:tc>
          <w:tcPr>
            <w:tcW w:type="dxa" w:w="3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github.com/prometheus/client_golang</w:t>
            </w:r>
          </w:p>
        </w:tc>
        <w:tc>
          <w:tcPr>
            <w:tcW w:type="dxa" w:w="3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Prometheus metrics</w:t>
            </w:r>
          </w:p>
        </w:tc>
        <w:tc>
          <w:tcPr>
            <w:tcW w:type="dxa" w:w="64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Standard Go Prometheus client. Counters, histograms, gauges with label support.</w:t>
            </w:r>
          </w:p>
        </w:tc>
      </w:tr>
      <w:tr>
        <w:tc>
          <w:tcPr>
            <w:tcW w:type="dxa" w:w="3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go.opentelemetry.io/otel</w:t>
            </w:r>
          </w:p>
        </w:tc>
        <w:tc>
          <w:tcPr>
            <w:tcW w:type="dxa" w:w="38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Distributed tracing</w:t>
            </w:r>
          </w:p>
        </w:tc>
        <w:tc>
          <w:tcPr>
            <w:tcW w:type="dxa" w:w="648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OpenTelemetry Go SDK. Trace propagation through pipeline stages and into Kafka headers.</w:t>
            </w:r>
          </w:p>
        </w:tc>
      </w:tr>
      <w:tr>
        <w:tc>
          <w:tcPr>
            <w:tcW w:type="dxa" w:w="3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github.com/jackc/pgx/v5</w:t>
            </w:r>
          </w:p>
        </w:tc>
        <w:tc>
          <w:tcPr>
            <w:tcW w:type="dxa" w:w="3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PostgreSQL driver</w:t>
            </w:r>
          </w:p>
        </w:tc>
        <w:tc>
          <w:tcPr>
            <w:tcW w:type="dxa" w:w="64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High-performance Go PostgreSQL driver. Used for lab code mapping tables, patient index, DLQ resolution state.</w:t>
            </w:r>
          </w:p>
        </w:tc>
      </w:tr>
      <w:tr>
        <w:tc>
          <w:tcPr>
            <w:tcW w:type="dxa" w:w="3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golang.org/x/crypto/nacl/box</w:t>
            </w:r>
          </w:p>
        </w:tc>
        <w:tc>
          <w:tcPr>
            <w:tcW w:type="dxa" w:w="38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ABDM encryption (X25519 + XSalsa20-Poly1305)</w:t>
            </w:r>
          </w:p>
        </w:tc>
        <w:tc>
          <w:tcPr>
            <w:tcW w:type="dxa" w:w="648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Standard Go crypto library. Implements the exact cipher suite required by ABDM for health data encryption.</w:t>
            </w:r>
          </w:p>
        </w:tc>
      </w:tr>
      <w:tr>
        <w:tc>
          <w:tcPr>
            <w:tcW w:type="dxa" w:w="3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github.com/antlr4-go/antlr/v4</w:t>
            </w:r>
          </w:p>
        </w:tc>
        <w:tc>
          <w:tcPr>
            <w:tcW w:type="dxa" w:w="3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FHIRPath expression evaluation</w:t>
            </w:r>
          </w:p>
        </w:tc>
        <w:tc>
          <w:tcPr>
            <w:tcW w:type="dxa" w:w="64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ANTLR4 Go runtime. Used for FHIR validation against StructureDefinition constraints expressed as FHIRPath invariants.</w:t>
            </w:r>
          </w:p>
        </w:tc>
      </w:tr>
      <w:tr>
        <w:tc>
          <w:tcPr>
            <w:tcW w:type="dxa" w:w="34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github.com/go-playground/validator/v10</w:t>
            </w:r>
          </w:p>
        </w:tc>
        <w:tc>
          <w:tcPr>
            <w:tcW w:type="dxa" w:w="38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Struct validation</w:t>
            </w:r>
          </w:p>
        </w:tc>
        <w:tc>
          <w:tcPr>
            <w:tcW w:type="dxa" w:w="648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Tag-based validation for canonical model structs. Range checks, required fields, format validation.</w:t>
            </w:r>
          </w:p>
        </w:tc>
      </w:tr>
    </w:tbl>
    <w:p>
      <w:pPr>
        <w:spacing w:after="60"/>
      </w:pPr>
    </w:p>
    <w:p>
      <w:pPr>
        <w:pStyle w:val="Heading2"/>
        <w:spacing w:after="140" w:before="280"/>
      </w:pPr>
      <w:r>
        <w:rPr>
          <w:rFonts w:ascii="Arial" w:cs="Arial" w:eastAsia="Arial" w:hAnsi="Arial"/>
          <w:b/>
          <w:bCs/>
          <w:color w:val="2E75B6"/>
          <w:sz w:val="24"/>
          <w:szCs w:val="24"/>
        </w:rPr>
        <w:t xml:space="preserve">9.3 Concurrency Model</w:t>
      </w:r>
    </w:p>
    <w:p>
      <w:pPr>
        <w:spacing w:after="120"/>
      </w:pPr>
      <w:r>
        <w:rPr>
          <w:rFonts w:ascii="Arial" w:cs="Arial" w:eastAsia="Arial" w:hAnsi="Arial"/>
          <w:color w:val="546E7A"/>
          <w:sz w:val="20"/>
          <w:szCs w:val="20"/>
        </w:rPr>
        <w:t xml:space="preserve">The ingestion service uses a fan-in/fan-out concurrency pattern. Each adapter (7 source types) runs as an independent goroutine pool (fan-in from multiple sources to a shared channel). Parsed messages enter a buffered channel (capacity: 10,000). A pool of N worker goroutines (configurable, default 50) consume from this channel and execute the normalize → validate → map → route pipeline stages sequentially per message (fan-out to Kafka topics). This ensures: (1) a slow adapter doesn’t block other adapters, (2) pipeline processing is parallelized across workers, (3) per-patient ordering is maintained via Kafka partition keys (not pipeline ordering), (4) backpressure is handled by the buffered channel (if channel full, adapters block, which propagates backpressure to external sources via TCP/HTTP flow control).</w:t>
      </w:r>
    </w:p>
    <w:p>
      <w:pPr>
        <w:spacing w:after="60"/>
      </w:pPr>
    </w:p>
    <w:p>
      <w:pPr>
        <w:pStyle w:val="Heading2"/>
        <w:spacing w:after="140" w:before="280"/>
      </w:pPr>
      <w:r>
        <w:rPr>
          <w:rFonts w:ascii="Arial" w:cs="Arial" w:eastAsia="Arial" w:hAnsi="Arial"/>
          <w:b/>
          <w:bCs/>
          <w:color w:val="2E75B6"/>
          <w:sz w:val="24"/>
          <w:szCs w:val="24"/>
        </w:rPr>
        <w:t xml:space="preserve">9.4 Deployment</w:t>
      </w:r>
    </w:p>
    <w:p>
      <w:pPr>
        <w:spacing w:after="80"/>
      </w:pPr>
      <w:r>
        <w:rPr>
          <w:rFonts w:ascii="Arial" w:cs="Arial" w:eastAsia="Arial" w:hAnsi="Arial"/>
          <w:b/>
          <w:bCs/>
          <w:color w:val="1B3A5C"/>
          <w:sz w:val="20"/>
          <w:szCs w:val="20"/>
        </w:rPr>
        <w:t xml:space="preserve">Container: </w:t>
      </w:r>
      <w:r>
        <w:rPr>
          <w:rFonts w:ascii="Arial" w:cs="Arial" w:eastAsia="Arial" w:hAnsi="Arial"/>
          <w:color w:val="546E7A"/>
          <w:sz w:val="20"/>
          <w:szCs w:val="20"/>
        </w:rPr>
        <w:t xml:space="preserve">Single Go binary in Alpine-based Docker image (~18MB). No runtime dependencies.</w:t>
      </w:r>
    </w:p>
    <w:p>
      <w:pPr>
        <w:spacing w:after="80"/>
      </w:pPr>
      <w:r>
        <w:rPr>
          <w:rFonts w:ascii="Arial" w:cs="Arial" w:eastAsia="Arial" w:hAnsi="Arial"/>
          <w:b/>
          <w:bCs/>
          <w:color w:val="1B3A5C"/>
          <w:sz w:val="20"/>
          <w:szCs w:val="20"/>
        </w:rPr>
        <w:t xml:space="preserve">Kubernetes: </w:t>
      </w:r>
      <w:r>
        <w:rPr>
          <w:rFonts w:ascii="Arial" w:cs="Arial" w:eastAsia="Arial" w:hAnsi="Arial"/>
          <w:color w:val="546E7A"/>
          <w:sz w:val="20"/>
          <w:szCs w:val="20"/>
        </w:rPr>
        <w:t xml:space="preserve">Deployment with HPA (min 3, max 20 replicas). CPU-based scaling (target 60% utilization). Each pod handles ~2,000 messages/second.</w:t>
      </w:r>
    </w:p>
    <w:p>
      <w:pPr>
        <w:spacing w:after="80"/>
      </w:pPr>
      <w:r>
        <w:rPr>
          <w:rFonts w:ascii="Arial" w:cs="Arial" w:eastAsia="Arial" w:hAnsi="Arial"/>
          <w:b/>
          <w:bCs/>
          <w:color w:val="1B3A5C"/>
          <w:sz w:val="20"/>
          <w:szCs w:val="20"/>
        </w:rPr>
        <w:t xml:space="preserve">Health Checks: </w:t>
      </w:r>
      <w:r>
        <w:rPr>
          <w:rFonts w:ascii="Arial" w:cs="Arial" w:eastAsia="Arial" w:hAnsi="Arial"/>
          <w:color w:val="546E7A"/>
          <w:sz w:val="20"/>
          <w:szCs w:val="20"/>
        </w:rPr>
        <w:t xml:space="preserve">Liveness: /healthz (is process running). Readiness: /readyz (is Kafka producer connected, is PostgreSQL reachable). Startup: /startupz (are all adapter goroutine pools initialized).</w:t>
      </w:r>
    </w:p>
    <w:p>
      <w:pPr>
        <w:spacing w:after="80"/>
      </w:pPr>
      <w:r>
        <w:rPr>
          <w:rFonts w:ascii="Arial" w:cs="Arial" w:eastAsia="Arial" w:hAnsi="Arial"/>
          <w:b/>
          <w:bCs/>
          <w:color w:val="1B3A5C"/>
          <w:sz w:val="20"/>
          <w:szCs w:val="20"/>
        </w:rPr>
        <w:t xml:space="preserve">Resource Limits: </w:t>
      </w:r>
      <w:r>
        <w:rPr>
          <w:rFonts w:ascii="Arial" w:cs="Arial" w:eastAsia="Arial" w:hAnsi="Arial"/>
          <w:color w:val="546E7A"/>
          <w:sz w:val="20"/>
          <w:szCs w:val="20"/>
        </w:rPr>
        <w:t xml:space="preserve">Per pod: 500m CPU request, 1 CPU limit. 256MB memory request, 512MB limit. Local volume: 1GB for WAL.</w:t>
      </w:r>
    </w:p>
    <w:p>
      <w:r>
        <w:br w:type="page"/>
      </w:r>
    </w:p>
    <w:p>
      <w:pPr>
        <w:pStyle w:val="Heading1"/>
        <w:spacing w:after="200" w:before="400"/>
      </w:pPr>
      <w:r>
        <w:rPr>
          <w:rFonts w:ascii="Arial" w:cs="Arial" w:eastAsia="Arial" w:hAnsi="Arial"/>
          <w:b/>
          <w:bCs/>
          <w:color w:val="1B3A5C"/>
          <w:sz w:val="30"/>
          <w:szCs w:val="30"/>
        </w:rPr>
        <w:t xml:space="preserve">10. Security &amp; Compliance</w:t>
      </w:r>
    </w:p>
    <w:p>
      <w:pPr>
        <w:spacing w:after="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000"/>
        <w:gridCol w:w="10680"/>
      </w:tblGrid>
      <w:tr>
        <w:tc>
          <w:tcPr>
            <w:tcW w:type="dxa" w:w="300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Requirement</w:t>
            </w:r>
          </w:p>
        </w:tc>
        <w:tc>
          <w:tcPr>
            <w:tcW w:type="dxa" w:w="10680"/>
            <w:tcBorders>
              <w:top w:val="single" w:color="CCCCCC" w:sz="1"/>
              <w:left w:val="single" w:color="CCCCCC" w:sz="1"/>
              <w:bottom w:val="single" w:color="CCCCCC" w:sz="1"/>
              <w:right w:val="single" w:color="CCCCCC" w:sz="1"/>
            </w:tcBorders>
            <w:shd w:fill="1B3A5C" w:val="clear"/>
            <w:tcMar>
              <w:top w:type="dxa" w:w="55"/>
              <w:left w:type="dxa" w:w="90"/>
              <w:bottom w:type="dxa" w:w="55"/>
              <w:right w:type="dxa" w:w="90"/>
            </w:tcMar>
          </w:tcPr>
          <w:p>
            <w:r>
              <w:rPr>
                <w:rFonts w:ascii="Arial" w:cs="Arial" w:eastAsia="Arial" w:hAnsi="Arial"/>
                <w:b/>
                <w:bCs/>
                <w:color w:val="FFFFFF"/>
                <w:sz w:val="16"/>
                <w:szCs w:val="16"/>
              </w:rPr>
              <w:t xml:space="preserve">Implementation</w:t>
            </w:r>
          </w:p>
        </w:tc>
      </w:tr>
      <w:tr>
        <w:tc>
          <w:tcPr>
            <w:tcW w:type="dxa" w:w="3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Data Encryption in Transit</w:t>
            </w:r>
          </w:p>
        </w:tc>
        <w:tc>
          <w:tcPr>
            <w:tcW w:type="dxa" w:w="106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All external connections over TLS 1.3. MLLP over TLS (MLLPS) for HL7v2 connections. mTLS between ingestion service and Kafka brokers. mTLS between ingestion service and KB services. ABDM data encrypted with X25519 + XSalsa20-Poly1305 per ABDM specification (additional layer beyond TLS).</w:t>
            </w:r>
          </w:p>
        </w:tc>
      </w:tr>
      <w:tr>
        <w:tc>
          <w:tcPr>
            <w:tcW w:type="dxa" w:w="30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Data Encryption at Rest</w:t>
            </w:r>
          </w:p>
        </w:tc>
        <w:tc>
          <w:tcPr>
            <w:tcW w:type="dxa" w:w="1068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Kafka messages encrypted at broker level (AES-256 via AWS MSK encryption). PostgreSQL encrypted at rest (AWS RDS encryption). WAL files encrypted on local volume (LUKS). DLQ messages contain PHI and are encrypted.</w:t>
            </w:r>
          </w:p>
        </w:tc>
      </w:tr>
      <w:tr>
        <w:tc>
          <w:tcPr>
            <w:tcW w:type="dxa" w:w="3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ABDM Consent Enforcement</w:t>
            </w:r>
          </w:p>
        </w:tc>
        <w:tc>
          <w:tcPr>
            <w:tcW w:type="dxa" w:w="106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ZERO health data is processed or stored from ABDM HIE without valid, unexpired consent. Consent verification at receive time: check consent artifact against ABDM Consent Manager API. Consent expiry: automated purge of data received under expired consent (configurable: immediate purge or 30-day grace for active care). Consent revocation: real-time webhook from ABDM Consent Manager triggers data purge workflow.</w:t>
            </w:r>
          </w:p>
        </w:tc>
      </w:tr>
      <w:tr>
        <w:tc>
          <w:tcPr>
            <w:tcW w:type="dxa" w:w="30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DPDPA 2023 Compliance</w:t>
            </w:r>
          </w:p>
        </w:tc>
        <w:tc>
          <w:tcPr>
            <w:tcW w:type="dxa" w:w="1068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Purpose limitation: data processed only for stated purpose (metabolic health management). Data minimization: only clinically relevant data fields extracted from ABDM records (e.g., discharge summary received but only lab values and medications extracted for the correction loop). Consent receipts stored per data point. Right to erasure: patient deletion cascades through ingestion audit trail.</w:t>
            </w:r>
          </w:p>
        </w:tc>
      </w:tr>
      <w:tr>
        <w:tc>
          <w:tcPr>
            <w:tcW w:type="dxa" w:w="3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Audit Trail</w:t>
            </w:r>
          </w:p>
        </w:tc>
        <w:tc>
          <w:tcPr>
            <w:tcW w:type="dxa" w:w="106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Every message processed by the ingestion service generates an immutable audit record: { eventId, patientId, sourceType, sourceId, receivedAt, processedAt, stages (array of stage results), kafkaTopic, kafkaPartition, kafkaOffset, consentId (if ABDM) }. Audit records stored in append-only PostgreSQL table with row-level security. Retained for 7 years per Indian medical record retention requirements.</w:t>
            </w:r>
          </w:p>
        </w:tc>
      </w:tr>
      <w:tr>
        <w:tc>
          <w:tcPr>
            <w:tcW w:type="dxa" w:w="300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PHI Protection</w:t>
            </w:r>
          </w:p>
        </w:tc>
        <w:tc>
          <w:tcPr>
            <w:tcW w:type="dxa" w:w="10680"/>
            <w:tcBorders>
              <w:top w:val="single" w:color="CCCCCC" w:sz="1"/>
              <w:left w:val="single" w:color="CCCCCC" w:sz="1"/>
              <w:bottom w:val="single" w:color="CCCCCC" w:sz="1"/>
              <w:right w:val="single" w:color="CCCCCC" w:sz="1"/>
            </w:tcBorders>
            <w:shd w:fill="F0F4F8" w:val="clear"/>
            <w:tcMar>
              <w:top w:type="dxa" w:w="55"/>
              <w:left w:type="dxa" w:w="90"/>
              <w:bottom w:type="dxa" w:w="55"/>
              <w:right w:type="dxa" w:w="90"/>
            </w:tcMar>
          </w:tcPr>
          <w:p>
            <w:pPr>
              <w:spacing w:after="0"/>
            </w:pPr>
            <w:r>
              <w:rPr>
                <w:rFonts w:ascii="Arial" w:cs="Arial" w:eastAsia="Arial" w:hAnsi="Arial"/>
                <w:color w:val="546E7A"/>
                <w:sz w:val="16"/>
                <w:szCs w:val="16"/>
              </w:rPr>
              <w:t xml:space="preserve">No PHI in application logs (structured logging with patientId as the only identifier, never name/phone/ABHA in log messages). No PHI in error messages returned to external systems. Crash dumps sanitized. Prometheus metrics labels never contain PHI. DLQ messages containing PHI are encrypted and access-controlled.</w:t>
            </w:r>
          </w:p>
        </w:tc>
      </w:tr>
      <w:tr>
        <w:tc>
          <w:tcPr>
            <w:tcW w:type="dxa" w:w="3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Source Authentication</w:t>
            </w:r>
          </w:p>
        </w:tc>
        <w:tc>
          <w:tcPr>
            <w:tcW w:type="dxa" w:w="1068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546E7A"/>
                <w:sz w:val="16"/>
                <w:szCs w:val="16"/>
              </w:rPr>
              <w:t xml:space="preserve">Lab APIs: API key + IP whitelist. ABDM: callback URL verification + token validation via ABDM Gateway. EHR MLLP: TLS client certificate. SFTP: SSH key authentication. App/WhatsApp: JWT verification via Apollo gateway (ingestion service trusts Apollo’s auth, does not re-authenticate).</w:t>
            </w:r>
          </w:p>
        </w:tc>
      </w:tr>
    </w:tbl>
    <w:p>
      <w:pPr>
        <w:spacing w:after="60"/>
      </w:pPr>
    </w:p>
    <w:p>
      <w:pPr>
        <w:pBdr>
          <w:left w:val="single" w:color="2E7D32" w:sz="12" w:space="8"/>
        </w:pBdr>
        <w:shd w:fill="E8F5E9" w:val="clear"/>
        <w:spacing w:after="100" w:before="100"/>
      </w:pPr>
      <w:r>
        <w:rPr>
          <w:rFonts w:ascii="Arial" w:cs="Arial" w:eastAsia="Arial" w:hAnsi="Arial"/>
          <w:color w:val="37474F"/>
          <w:sz w:val="19"/>
          <w:szCs w:val="19"/>
        </w:rPr>
        <w:t xml:space="preserve">FINAL NOTE: The ingestion service is the immune system of the metabolic correction engine. It must be paranoid about data quality, strict about compliance, and generous about accepting diverse formats. Every KB service trusts that data arriving from Kafka has been validated, normalized, coded, and patient-linked. If the ingestion service fails at this job, every downstream clinical decision is compromised. Build it like infrastructure, not a feature.</w:t>
      </w:r>
    </w:p>
    <w:sectPr>
      <w:headerReference w:type="default" r:id="rId7"/>
      <w:footerReference w:type="default" r:id="rId8"/>
      <w:pgSz w:w="12240" w:h="15840" w:orient="landscape"/>
      <w:pgMar w:top="800" w:right="800" w:bottom="8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0A4AE"/>
        <w:sz w:val="13"/>
        <w:szCs w:val="13"/>
      </w:rPr>
      <w:t xml:space="preserve">Page </w:t>
    </w:r>
    <w:r>
      <w:rPr>
        <w:rFonts w:ascii="Arial" w:cs="Arial" w:eastAsia="Arial" w:hAnsi="Arial"/>
        <w:color w:val="90A4AE"/>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jc w:val="right"/>
    </w:pPr>
    <w:r>
      <w:rPr>
        <w:rFonts w:ascii="Arial" w:cs="Arial" w:eastAsia="Arial" w:hAnsi="Arial"/>
        <w:b/>
        <w:bCs/>
        <w:color w:val="1B3A5C"/>
        <w:sz w:val="15"/>
        <w:szCs w:val="15"/>
      </w:rPr>
      <w:t xml:space="preserve">Vaidshala Ingestion Service — Implementation Guidelines (Go)</w:t>
    </w:r>
    <w:r>
      <w:rPr>
        <w:rFonts w:ascii="Arial" w:cs="Arial" w:eastAsia="Arial" w:hAnsi="Arial"/>
        <w:b/>
        <w:bCs/>
        <w:color w:val="C62828"/>
        <w:sz w:val="13"/>
        <w:szCs w:val="13"/>
      </w:rPr>
      <w:t xml:space="preserve">    ENGINEERING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0"/>
      <w:szCs w:val="30"/>
    </w:rPr>
  </w:style>
  <w:style w:type="paragraph" w:styleId="Heading2">
    <w:name w:val="Heading 2"/>
    <w:basedOn w:val="Normal"/>
    <w:next w:val="Normal"/>
    <w:qFormat/>
    <w:pPr>
      <w:spacing w:after="14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2026-03-20T17:00:19.374Z</dcterms:created>
  <dcterms:modified xsi:type="dcterms:W3CDTF">2026-03-20T17:00:19.375Z</dcterms:modified>
</cp:coreProperties>
</file>

<file path=docProps/custom.xml><?xml version="1.0" encoding="utf-8"?>
<Properties xmlns="http://schemas.openxmlformats.org/officeDocument/2006/custom-properties" xmlns:vt="http://schemas.openxmlformats.org/officeDocument/2006/docPropsVTypes"/>
</file>