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0"/>
          <w:szCs w:val="40"/>
        </w:rPr>
        <w:t xml:space="preserve">Doctor Dashboard 360</w:t>
      </w:r>
    </w:p>
    <w:p>
      <w:pPr>
        <w:spacing w:after="40"/>
        <w:jc w:val="center"/>
      </w:pPr>
      <w:r>
        <w:rPr>
          <w:rFonts w:ascii="Arial" w:cs="Arial" w:eastAsia="Arial" w:hAnsi="Arial"/>
          <w:color w:val="2E75B6"/>
          <w:sz w:val="24"/>
          <w:szCs w:val="24"/>
        </w:rPr>
        <w:t xml:space="preserve">API Endpoints, UI Triggers &amp; Decision Card Reference</w:t>
      </w:r>
    </w:p>
    <w:p>
      <w:pPr>
        <w:spacing w:after="300"/>
        <w:jc w:val="center"/>
      </w:pPr>
      <w:r>
        <w:rPr>
          <w:rFonts w:ascii="Arial" w:cs="Arial" w:eastAsia="Arial" w:hAnsi="Arial"/>
          <w:color w:val="90A4AE"/>
          <w:sz w:val="18"/>
          <w:szCs w:val="18"/>
        </w:rPr>
        <w:t xml:space="preserve">Version 2.0 — 360 Upgrade from V1 (DoctorDashboard)  |  March 2026</w:t>
      </w:r>
    </w:p>
    <w:p>
      <w:pPr>
        <w:pStyle w:val="Heading1"/>
        <w:spacing w:after="200" w:before="360"/>
      </w:pPr>
      <w:r>
        <w:rPr>
          <w:rFonts w:ascii="Arial" w:cs="Arial" w:eastAsia="Arial" w:hAnsi="Arial"/>
          <w:b/>
          <w:bCs/>
          <w:color w:val="1B3A5C"/>
          <w:sz w:val="28"/>
          <w:szCs w:val="28"/>
        </w:rPr>
        <w:t xml:space="preserve">1. Executive Summary</w:t>
      </w:r>
    </w:p>
    <w:p>
      <w:pPr>
        <w:spacing w:after="120"/>
      </w:pPr>
      <w:r>
        <w:rPr>
          <w:rFonts w:ascii="Arial" w:cs="Arial" w:eastAsia="Arial" w:hAnsi="Arial"/>
          <w:color w:val="546E7A"/>
          <w:sz w:val="20"/>
          <w:szCs w:val="20"/>
        </w:rPr>
        <w:t xml:space="preserve">The DoctorDashboard360 is a major upgrade from the original DoctorDashboard (V1). It evolves from a two-view system (Queue + Decision Card) into a four-tab patient intelligence platform with a self-evolving priority queue. The upgrade introduces 6 new API endpoints, 3 new UI tabs, lab trend sparklines, digital twin state visualization, behavioral intelligence profiling, and medication change timelines — all while preserving the core decision card workflow.</w:t>
      </w:r>
    </w:p>
    <w:p>
      <w:pPr>
        <w:spacing w:after="80"/>
      </w:pPr>
      <w:r>
        <w:rPr>
          <w:rFonts w:ascii="Arial" w:cs="Arial" w:eastAsia="Arial" w:hAnsi="Arial"/>
          <w:b/>
          <w:bCs/>
          <w:color w:val="1B3A5C"/>
          <w:sz w:val="20"/>
          <w:szCs w:val="20"/>
        </w:rPr>
        <w:t xml:space="preserve">New Endpoints: </w:t>
      </w:r>
      <w:r>
        <w:rPr>
          <w:rFonts w:ascii="Arial" w:cs="Arial" w:eastAsia="Arial" w:hAnsi="Arial"/>
          <w:color w:val="546E7A"/>
          <w:sz w:val="20"/>
          <w:szCs w:val="20"/>
        </w:rPr>
        <w:t xml:space="preserve">6 (KB-26 twin, KB-26 MRI history, KB-22 deterioration, KB-21 behavioral, KB-20 labs history, KB-20 meds history)</w:t>
      </w:r>
    </w:p>
    <w:p>
      <w:pPr>
        <w:spacing w:after="80"/>
      </w:pPr>
      <w:r>
        <w:rPr>
          <w:rFonts w:ascii="Arial" w:cs="Arial" w:eastAsia="Arial" w:hAnsi="Arial"/>
          <w:b/>
          <w:bCs/>
          <w:color w:val="1B3A5C"/>
          <w:sz w:val="20"/>
          <w:szCs w:val="20"/>
        </w:rPr>
        <w:t xml:space="preserve">Modified Endpoints: </w:t>
      </w:r>
      <w:r>
        <w:rPr>
          <w:rFonts w:ascii="Arial" w:cs="Arial" w:eastAsia="Arial" w:hAnsi="Arial"/>
          <w:color w:val="546E7A"/>
          <w:sz w:val="20"/>
          <w:szCs w:val="20"/>
        </w:rPr>
        <w:t xml:space="preserve">3 (patient summary, current meds, protocol — now return structured objects)</w:t>
      </w:r>
    </w:p>
    <w:p>
      <w:pPr>
        <w:spacing w:after="80"/>
      </w:pPr>
      <w:r>
        <w:rPr>
          <w:rFonts w:ascii="Arial" w:cs="Arial" w:eastAsia="Arial" w:hAnsi="Arial"/>
          <w:b/>
          <w:bCs/>
          <w:color w:val="1B3A5C"/>
          <w:sz w:val="20"/>
          <w:szCs w:val="20"/>
        </w:rPr>
        <w:t xml:space="preserve">Preserved Endpoints: </w:t>
      </w:r>
      <w:r>
        <w:rPr>
          <w:rFonts w:ascii="Arial" w:cs="Arial" w:eastAsia="Arial" w:hAnsi="Arial"/>
          <w:color w:val="546E7A"/>
          <w:sz w:val="20"/>
          <w:szCs w:val="20"/>
        </w:rPr>
        <w:t xml:space="preserve">3 (MRI score, signals, pending cards — unchanged contracts)</w:t>
      </w:r>
    </w:p>
    <w:p>
      <w:pPr>
        <w:spacing w:after="80"/>
      </w:pPr>
      <w:r>
        <w:rPr>
          <w:rFonts w:ascii="Arial" w:cs="Arial" w:eastAsia="Arial" w:hAnsi="Arial"/>
          <w:b/>
          <w:bCs/>
          <w:color w:val="1B3A5C"/>
          <w:sz w:val="20"/>
          <w:szCs w:val="20"/>
        </w:rPr>
        <w:t xml:space="preserve">New UI Triggers: </w:t>
      </w:r>
      <w:r>
        <w:rPr>
          <w:rFonts w:ascii="Arial" w:cs="Arial" w:eastAsia="Arial" w:hAnsi="Arial"/>
          <w:color w:val="546E7A"/>
          <w:sz w:val="20"/>
          <w:szCs w:val="20"/>
        </w:rPr>
        <w:t xml:space="preserve">4 (360 Overview tab, Medications tab, Behavioral Intel tab, deterioration alert panel)</w:t>
      </w:r>
    </w:p>
    <w:p>
      <w:pPr>
        <w:spacing w:after="80"/>
      </w:pPr>
      <w:r>
        <w:rPr>
          <w:rFonts w:ascii="Arial" w:cs="Arial" w:eastAsia="Arial" w:hAnsi="Arial"/>
          <w:b/>
          <w:bCs/>
          <w:color w:val="1B3A5C"/>
          <w:sz w:val="20"/>
          <w:szCs w:val="20"/>
        </w:rPr>
        <w:t xml:space="preserve">Preserved Triggers: </w:t>
      </w:r>
      <w:r>
        <w:rPr>
          <w:rFonts w:ascii="Arial" w:cs="Arial" w:eastAsia="Arial" w:hAnsi="Arial"/>
          <w:color w:val="546E7A"/>
          <w:sz w:val="20"/>
          <w:szCs w:val="20"/>
        </w:rPr>
        <w:t xml:space="preserve">6 (queue sort, row click, card actions, evidence/attribution expand, back button)</w:t>
      </w:r>
    </w:p>
    <w:p>
      <w:r>
        <w:br w:type="page"/>
      </w:r>
    </w:p>
    <w:p>
      <w:pPr>
        <w:pStyle w:val="Heading1"/>
        <w:spacing w:after="200" w:before="360"/>
      </w:pPr>
      <w:r>
        <w:rPr>
          <w:rFonts w:ascii="Arial" w:cs="Arial" w:eastAsia="Arial" w:hAnsi="Arial"/>
          <w:b/>
          <w:bCs/>
          <w:color w:val="1B3A5C"/>
          <w:sz w:val="28"/>
          <w:szCs w:val="28"/>
        </w:rPr>
        <w:t xml:space="preserve">2. API Endpoints (Complete Registry)</w:t>
      </w:r>
    </w:p>
    <w:p>
      <w:pPr>
        <w:spacing w:after="120"/>
      </w:pPr>
      <w:r>
        <w:rPr>
          <w:rFonts w:ascii="Arial" w:cs="Arial" w:eastAsia="Arial" w:hAnsi="Arial"/>
          <w:color w:val="546E7A"/>
          <w:sz w:val="20"/>
          <w:szCs w:val="20"/>
        </w:rPr>
        <w:t xml:space="preserve">All endpoints consumed by the DoctorDashboard360 frontend. Tag indicates whether the endpoint is NEW to the 360 version or existed in V1. Endpoints are organized by Knowledge Base (KB) source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700"/>
        <w:gridCol w:w="700"/>
        <w:gridCol w:w="2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KB</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Tag</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GET /api/v1/kb20/patients/:id/summary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Core patient demographics, enrollment date, ABHA ID, current day in program, phone, sex, age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5B6"/>
                <w:sz w:val="18"/>
                <w:szCs w:val="18"/>
              </w:rPr>
              <w:t xml:space="preserve">KB-20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78909C"/>
                <w:sz w:val="16"/>
                <w:szCs w:val="16"/>
              </w:rPr>
              <w:t xml:space="preserve">V1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V1 had flat patient object; 360 adds abhaId, enrollDate, currentDay, phone</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6"/>
                <w:szCs w:val="16"/>
              </w:rPr>
              <w:t xml:space="preserve">GET /api/v1/kb26/mri/:id</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Current MRI composite score, domain breakdown (glucose, body, cardio, behavioral), trend, primary driver</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2E75B6"/>
                <w:sz w:val="18"/>
                <w:szCs w:val="18"/>
              </w:rPr>
              <w:t xml:space="preserve">KB-26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78909C"/>
                <w:sz w:val="16"/>
                <w:szCs w:val="16"/>
              </w:rPr>
              <w:t xml:space="preserve">V1</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Now also feeds ASCVD 10-year risk score display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GET /api/v1/kb26/mri/:id/history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MRI time-series array [{day, mri}] from enrollment to current day for trajectory sparkline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5B6"/>
                <w:sz w:val="18"/>
                <w:szCs w:val="18"/>
              </w:rPr>
              <w:t xml:space="preserve">KB-26</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6"/>
                <w:szCs w:val="16"/>
              </w:rPr>
              <w:t xml:space="preserve">NEW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Powers the MRI Trajectory chart in 360 Overview tab</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6"/>
                <w:szCs w:val="16"/>
              </w:rPr>
              <w:t xml:space="preserve">GET /api/v1/kb26/twin/:id</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Full physiological twin state: Tier 1 (observables), Tier 2 (derived metrics), Tier 3 (estimated latent variables with confidence)</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2E75B6"/>
                <w:sz w:val="18"/>
                <w:szCs w:val="18"/>
              </w:rPr>
              <w:t xml:space="preserve">KB-26</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6"/>
                <w:szCs w:val="16"/>
              </w:rPr>
              <w:t xml:space="preserve">NEW</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Tier 3 includes insulin sensitivity, hepatic glucose output, muscle mass, beta cell function, sympathetic tone + confidence scores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GET /api/v1/kb22/patients/:id/signals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Latest physiological + metabolic signals: FBG, PPBG, HbA1c, SBP, DBP, waist, steps, protein, eGFR, HR, GV, TG/HDL, BP dip pattern, sleep quality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5B6"/>
                <w:sz w:val="18"/>
                <w:szCs w:val="18"/>
              </w:rPr>
              <w:t xml:space="preserve">KB-22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78909C"/>
                <w:sz w:val="16"/>
                <w:szCs w:val="16"/>
              </w:rPr>
              <w:t xml:space="preserve">V1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360 adds DBP, HR, GV (glycemic variability), TG/HDL ratio vs V1</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6"/>
                <w:szCs w:val="16"/>
              </w:rPr>
              <w:t xml:space="preserve">GET /api/v1/kb22/patients/:id/deterioration</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Active deterioration detection tree alerts with severity (CRITICAL/MODERATE/MILD), signal codes, node IDs</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2E75B6"/>
                <w:sz w:val="18"/>
                <w:szCs w:val="18"/>
              </w:rPr>
              <w:t xml:space="preserve">KB-22</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6"/>
                <w:szCs w:val="16"/>
              </w:rPr>
              <w:t xml:space="preserve">NEW</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Displays in 360 Overview under Deterioration Alerts panel. Array of {node, signal, severity, label}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GET /api/v1/kb23/patients/:id/cards/pending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Active decision cards: type, title, recommendation, alternateRx, projectedMRI, projectionDays, evidence, attribution split, safety flags, action options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5B6"/>
                <w:sz w:val="18"/>
                <w:szCs w:val="18"/>
              </w:rPr>
              <w:t xml:space="preserve">KB-23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78909C"/>
                <w:sz w:val="16"/>
                <w:szCs w:val="16"/>
              </w:rPr>
              <w:t xml:space="preserve">V1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Structure unchanged from V1; now rendered in dedicated Decision Card tab</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6"/>
                <w:szCs w:val="16"/>
              </w:rPr>
              <w:t xml:space="preserve">GET /api/v1/kb21/patients/:id/behavioral-profile</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BCE archetype, primary barrier, engagement score, checkin stats, top/worst behavioral technique with Bayesian uplift, per-behavior adherence map</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2E75B6"/>
                <w:sz w:val="18"/>
                <w:szCs w:val="18"/>
              </w:rPr>
              <w:t xml:space="preserve">KB-21</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6"/>
                <w:szCs w:val="16"/>
              </w:rPr>
              <w:t xml:space="preserve">NEW</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Powers Behavioral Intel tab + radar chart in Overview. Includes technique effectiveness scores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GET /api/v1/kb20/patients/:id/labs/history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Lab time-series for FBG, HbA1c, eGFR, SBP as [{date, v}] arrays for trend sparklines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5B6"/>
                <w:sz w:val="18"/>
                <w:szCs w:val="18"/>
              </w:rPr>
              <w:t xml:space="preserve">KB-20</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6"/>
                <w:szCs w:val="16"/>
              </w:rPr>
              <w:t xml:space="preserve">NEW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Powers FBG Trend, SBP Trend, eGFR Trend sparklines in 360 Overview</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6"/>
                <w:szCs w:val="16"/>
              </w:rPr>
              <w:t xml:space="preserve">GET /api/v1/kb20/patients/:id/medications/history</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Medication change timeline: [{date, action, drug, reason}] showing starts, uptitrations, reductions, additions</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2E75B6"/>
                <w:sz w:val="18"/>
                <w:szCs w:val="18"/>
              </w:rPr>
              <w:t xml:space="preserve">KB-20</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6"/>
                <w:szCs w:val="16"/>
              </w:rPr>
              <w:t xml:space="preserve">NEW</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Powers Medications tab timeline view. Actions: Started, Uptitrated, Added, Reduced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GET /api/v1/kb20/patients/:id/medications/current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Current active medications with name, start date, and status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5B6"/>
                <w:sz w:val="18"/>
                <w:szCs w:val="18"/>
              </w:rPr>
              <w:t xml:space="preserve">KB-20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78909C"/>
                <w:sz w:val="16"/>
                <w:szCs w:val="16"/>
              </w:rPr>
              <w:t xml:space="preserve">V1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V1 had flat string array; 360 uses structured objects [{name, since, status}]</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6"/>
                <w:szCs w:val="16"/>
              </w:rPr>
              <w:t xml:space="preserve">GET /api/v1/kb20/patients/:id/protocol</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PRP and VFRP protocol status: phase, day within phase, active/inactive status</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2E75B6"/>
                <w:sz w:val="18"/>
                <w:szCs w:val="18"/>
              </w:rPr>
              <w:t xml:space="preserve">KB-20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78909C"/>
                <w:sz w:val="16"/>
                <w:szCs w:val="16"/>
              </w:rPr>
              <w:t xml:space="preserve">V1</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V1 had string format; 360 uses structured {phase, day, status} objects</w:t>
            </w:r>
          </w:p>
        </w:tc>
      </w:tr>
    </w:tbl>
    <w:p>
      <w:r>
        <w:br w:type="page"/>
      </w:r>
    </w:p>
    <w:p>
      <w:pPr>
        <w:pStyle w:val="Heading1"/>
        <w:spacing w:after="200" w:before="360"/>
      </w:pPr>
      <w:r>
        <w:rPr>
          <w:rFonts w:ascii="Arial" w:cs="Arial" w:eastAsia="Arial" w:hAnsi="Arial"/>
          <w:b/>
          <w:bCs/>
          <w:color w:val="1B3A5C"/>
          <w:sz w:val="28"/>
          <w:szCs w:val="28"/>
        </w:rPr>
        <w:t xml:space="preserve">3. UI Triggers &amp; Navigation</w:t>
      </w:r>
    </w:p>
    <w:p>
      <w:pPr>
        <w:spacing w:after="120"/>
      </w:pPr>
      <w:r>
        <w:rPr>
          <w:rFonts w:ascii="Arial" w:cs="Arial" w:eastAsia="Arial" w:hAnsi="Arial"/>
          <w:color w:val="546E7A"/>
          <w:sz w:val="20"/>
          <w:szCs w:val="20"/>
        </w:rPr>
        <w:t xml:space="preserve">All user-initiated interactions and system-driven state changes in the dashboard. Each trigger maps to a React state transition and downstream data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1600"/>
        <w:gridCol w:w="25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 / Effect</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 Target</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Queue Row Click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Patient Queue Table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Navigate to Patient 360 View (was Decision Card View in V1)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setView('patient')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V1 went directly to card; 360 opens full patient view with tab bar defaulting to Overview</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6"/>
                <w:szCs w:val="16"/>
              </w:rPr>
              <w:t xml:space="preserve">Tab Switch: 360 Overview</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Tab Bar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Load TabOverview component: MRI score, trajectory sparkline, adherence radar, lab trends, twin state, deterioration alerts, protocol status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setActiveTab('overview')</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New tab. Renders 3x3 grid of clinical intelligence panels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Tab Switch: Decision Card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Tab Bar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Load TabDecisionCard: system recommendation, alternate, safety flags, evidence, attribution, action buttons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setActiveTab('card')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Was the only patient view in V1; now one of four tabs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6"/>
                <w:szCs w:val="16"/>
              </w:rPr>
              <w:t xml:space="preserve">Tab Switch: Medications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Tab Bar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Load TabMedications: current meds + medication change timeline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setActiveTab('meds')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New tab. Two-column layout: active meds (left) + change timeline (right)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Tab Switch: Behavioral Intel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Tab Bar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Load TabBehavioral: BCE profile, technique effectiveness, per-behavior adherence bars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setActiveTab('behavioral')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New tab. Two-column layout: BCE profile (left) + technique + adherence (right)</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6"/>
                <w:szCs w:val="16"/>
              </w:rPr>
              <w:t xml:space="preserve">Decision Card Action Click</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Decision Card Tab</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Record physician action, mark patient as actioned, auto-return to queue after 800ms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onAction(actionLabel)</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Unchanged from V1. Actions are card-type specific (e.g., Approve Rx, Defer, Refer)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Expand: Outcome Attribution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Decision Card Tab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Toggle attribution stacked bar (lifestyle % / medication % / unexplained %)</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setShowAttribution()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Collapsible section, same as V1</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6"/>
                <w:szCs w:val="16"/>
              </w:rPr>
              <w:t xml:space="preserve">Expand: Clinical Evidence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Decision Card Tab</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Toggle evidence text panel with guideline citations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setShowEvidence()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Collapsible section, same as V1</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Back to Queue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Patient Header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Return to priority-sorted patient queue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setView('queue')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Same as V1</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6"/>
                <w:szCs w:val="16"/>
              </w:rPr>
              <w:t xml:space="preserve">Self-Evolving Priority Sort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Queue (automatic)</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Patients auto-sorted: URGENT &gt; REVIEW &gt; MONITOR &gt; STABLE, then by MRI descending within tier</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sorted array</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Priority logic unchanged. As actions are taken and signals update, patients re-sort automatically</w:t>
            </w:r>
          </w:p>
        </w:tc>
      </w:tr>
    </w:tbl>
    <w:p>
      <w:r>
        <w:br w:type="page"/>
      </w:r>
    </w:p>
    <w:p>
      <w:pPr>
        <w:pStyle w:val="Heading1"/>
        <w:spacing w:after="200" w:before="360"/>
      </w:pPr>
      <w:r>
        <w:rPr>
          <w:rFonts w:ascii="Arial" w:cs="Arial" w:eastAsia="Arial" w:hAnsi="Arial"/>
          <w:b/>
          <w:bCs/>
          <w:color w:val="1B3A5C"/>
          <w:sz w:val="28"/>
          <w:szCs w:val="28"/>
        </w:rPr>
        <w:t xml:space="preserve">4. Decision Card Types &amp; Generation Triggers</w:t>
      </w:r>
    </w:p>
    <w:p>
      <w:pPr>
        <w:spacing w:after="120"/>
      </w:pPr>
      <w:r>
        <w:rPr>
          <w:rFonts w:ascii="Arial" w:cs="Arial" w:eastAsia="Arial" w:hAnsi="Arial"/>
          <w:color w:val="546E7A"/>
          <w:sz w:val="20"/>
          <w:szCs w:val="20"/>
        </w:rPr>
        <w:t xml:space="preserve">Decision cards are generated by the KB-23 engine based on patient signals, deterioration patterns, and protocol milestones. Each card type has a distinct clinical purpose and maps to a typical queue priority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760"/>
        <w:gridCol w:w="18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Card Type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Icon</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Generation Trigger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Typical Priority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MEDICATION_REVIEW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Pill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Lifestyle ceiling reached + insufficient projected FBG reduction; or eGFR declining rapidly requiring SGLT2i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C62828"/>
                <w:sz w:val="18"/>
                <w:szCs w:val="18"/>
              </w:rPr>
              <w:t xml:space="preserve">URGENT/REVIEW</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6"/>
                <w:szCs w:val="16"/>
              </w:rPr>
              <w:t xml:space="preserve">LIFESTYLE_INTENSIFICATION</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Nutrition</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Phase transition threshold met (adherence &gt; 60%, improving signals). KB-25 projects benefit from protocol escalation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E65100"/>
                <w:sz w:val="18"/>
                <w:szCs w:val="18"/>
              </w:rPr>
              <w:t xml:space="preserve">REVIEW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DE_ESCALATION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Chart Down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MRI &lt; 40 sustained 6+ weeks, HbA1c at target for 2 consecutive readings, lifestyle attribution &gt; 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18"/>
                <w:szCs w:val="18"/>
              </w:rPr>
              <w:t xml:space="preserve">STABLE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6"/>
                <w:szCs w:val="16"/>
              </w:rPr>
              <w:t xml:space="preserve">SAFETY_ALERT</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Warning</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6"/>
                <w:szCs w:val="16"/>
                <w:shd w:fill="F0F4F8" w:val="clear"/>
              </w:rPr>
              <w:t xml:space="preserve">KB-22 deterioration tree fires CRITICAL signal (e.g., reverse dipper + rapid eGFR decline + autonomic dysfunction)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C62828"/>
                <w:sz w:val="18"/>
                <w:szCs w:val="18"/>
              </w:rPr>
              <w:t xml:space="preserve">URGENT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6"/>
                <w:szCs w:val="16"/>
              </w:rPr>
              <w:t xml:space="preserve">ROUTINE_REVIEW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Clipboard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6"/>
                <w:szCs w:val="16"/>
              </w:rPr>
              <w:t xml:space="preserve">Scheduled protocol milestone (e.g., Day 72 of 84) with on-track progress and no safety signals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18"/>
                <w:szCs w:val="18"/>
              </w:rPr>
              <w:t xml:space="preserve">MONITOR</w:t>
            </w:r>
          </w:p>
        </w:tc>
      </w:tr>
    </w:tbl>
    <w:p>
      <w:pPr>
        <w:spacing w:before="300"/>
      </w:pPr>
    </w:p>
    <w:p>
      <w:pPr>
        <w:pStyle w:val="Heading1"/>
        <w:spacing w:after="200" w:before="360"/>
      </w:pPr>
      <w:r>
        <w:rPr>
          <w:rFonts w:ascii="Arial" w:cs="Arial" w:eastAsia="Arial" w:hAnsi="Arial"/>
          <w:b/>
          <w:bCs/>
          <w:color w:val="1B3A5C"/>
          <w:sz w:val="28"/>
          <w:szCs w:val="28"/>
        </w:rPr>
        <w:t xml:space="preserve">5. Self-Evolving Priority Queue</w:t>
      </w:r>
    </w:p>
    <w:p>
      <w:pPr>
        <w:spacing w:after="120"/>
      </w:pPr>
      <w:r>
        <w:rPr>
          <w:rFonts w:ascii="Arial" w:cs="Arial" w:eastAsia="Arial" w:hAnsi="Arial"/>
          <w:color w:val="546E7A"/>
          <w:sz w:val="20"/>
          <w:szCs w:val="20"/>
        </w:rPr>
        <w:t xml:space="preserve">The patient queue is not static. It re-sorts automatically based on two axes:</w:t>
      </w:r>
    </w:p>
    <w:p>
      <w:pPr>
        <w:spacing w:after="80"/>
      </w:pPr>
      <w:r>
        <w:rPr>
          <w:rFonts w:ascii="Arial" w:cs="Arial" w:eastAsia="Arial" w:hAnsi="Arial"/>
          <w:b/>
          <w:bCs/>
          <w:color w:val="1B3A5C"/>
          <w:sz w:val="20"/>
          <w:szCs w:val="20"/>
        </w:rPr>
        <w:t xml:space="preserve">Primary Sort: </w:t>
      </w:r>
      <w:r>
        <w:rPr>
          <w:rFonts w:ascii="Arial" w:cs="Arial" w:eastAsia="Arial" w:hAnsi="Arial"/>
          <w:color w:val="546E7A"/>
          <w:sz w:val="20"/>
          <w:szCs w:val="20"/>
        </w:rPr>
        <w:t xml:space="preserve">Status tier (URGENT &gt; REVIEW &gt; MONITOR &gt; STABLE). Status is assigned by KB-23 based on active card type, deterioration severity, and signal thresholds.</w:t>
      </w:r>
    </w:p>
    <w:p>
      <w:pPr>
        <w:spacing w:after="80"/>
      </w:pPr>
      <w:r>
        <w:rPr>
          <w:rFonts w:ascii="Arial" w:cs="Arial" w:eastAsia="Arial" w:hAnsi="Arial"/>
          <w:b/>
          <w:bCs/>
          <w:color w:val="1B3A5C"/>
          <w:sz w:val="20"/>
          <w:szCs w:val="20"/>
        </w:rPr>
        <w:t xml:space="preserve">Secondary Sort: </w:t>
      </w:r>
      <w:r>
        <w:rPr>
          <w:rFonts w:ascii="Arial" w:cs="Arial" w:eastAsia="Arial" w:hAnsi="Arial"/>
          <w:color w:val="546E7A"/>
          <w:sz w:val="20"/>
          <w:szCs w:val="20"/>
        </w:rPr>
        <w:t xml:space="preserve">MRI score descending within each tier. Higher MRI = higher metabolic risk = seen first within the same status tier.</w:t>
      </w:r>
    </w:p>
    <w:p>
      <w:pPr>
        <w:spacing w:after="120"/>
      </w:pPr>
      <w:r>
        <w:rPr>
          <w:rFonts w:ascii="Arial" w:cs="Arial" w:eastAsia="Arial" w:hAnsi="Arial"/>
          <w:color w:val="546E7A"/>
          <w:sz w:val="20"/>
          <w:szCs w:val="20"/>
        </w:rPr>
        <w:t xml:space="preserve">As physicians take actions (approve medications, defer reviews, acknowledge progress), the actioned patient is visually dimmed (opacity 0.5) and effectively drops in visual priority. When the backend refreshes signals and recalculates MRI and status, patients can move between tiers — an improving patient may shift from REVIEW to MONITOR, while a deteriorating patient escalates from MONITOR to URGENT.</w:t>
      </w:r>
    </w:p>
    <w:p>
      <w:pPr>
        <w:spacing w:after="120"/>
      </w:pPr>
      <w:r>
        <w:rPr>
          <w:rFonts w:ascii="Arial" w:cs="Arial" w:eastAsia="Arial" w:hAnsi="Arial"/>
          <w:color w:val="546E7A"/>
          <w:sz w:val="20"/>
          <w:szCs w:val="20"/>
        </w:rPr>
        <w:t xml:space="preserve">This creates a self-evolving worklist where the doctor always sees the highest-risk, most-actionable patients at the top, without manual triage.</w:t>
      </w:r>
    </w:p>
    <w:p>
      <w:pPr>
        <w:pStyle w:val="Heading1"/>
        <w:spacing w:after="200" w:before="360"/>
      </w:pPr>
      <w:r>
        <w:rPr>
          <w:rFonts w:ascii="Arial" w:cs="Arial" w:eastAsia="Arial" w:hAnsi="Arial"/>
          <w:b/>
          <w:bCs/>
          <w:color w:val="1B3A5C"/>
          <w:sz w:val="28"/>
          <w:szCs w:val="28"/>
        </w:rPr>
        <w:t xml:space="preserve">6. View Architecture Comparison</w:t>
      </w:r>
    </w:p>
    <w:p>
      <w:pPr>
        <w:spacing w:after="80"/>
      </w:pPr>
      <w:r>
        <w:rPr>
          <w:rFonts w:ascii="Arial" w:cs="Arial" w:eastAsia="Arial" w:hAnsi="Arial"/>
          <w:b/>
          <w:bCs/>
          <w:color w:val="1B3A5C"/>
          <w:sz w:val="20"/>
          <w:szCs w:val="20"/>
        </w:rPr>
        <w:t xml:space="preserve">V1 (DoctorDashboard): </w:t>
      </w:r>
      <w:r>
        <w:rPr>
          <w:rFonts w:ascii="Arial" w:cs="Arial" w:eastAsia="Arial" w:hAnsi="Arial"/>
          <w:color w:val="546E7A"/>
          <w:sz w:val="20"/>
          <w:szCs w:val="20"/>
        </w:rPr>
        <w:t xml:space="preserve">2 views — Queue (table) and Decision Card (single panel with left snapshot + right card)</w:t>
      </w:r>
    </w:p>
    <w:p>
      <w:pPr>
        <w:spacing w:after="80"/>
      </w:pPr>
      <w:r>
        <w:rPr>
          <w:rFonts w:ascii="Arial" w:cs="Arial" w:eastAsia="Arial" w:hAnsi="Arial"/>
          <w:b/>
          <w:bCs/>
          <w:color w:val="1B3A5C"/>
          <w:sz w:val="20"/>
          <w:szCs w:val="20"/>
        </w:rPr>
        <w:t xml:space="preserve">V2 (DoctorDashboard360): </w:t>
      </w:r>
      <w:r>
        <w:rPr>
          <w:rFonts w:ascii="Arial" w:cs="Arial" w:eastAsia="Arial" w:hAnsi="Arial"/>
          <w:color w:val="546E7A"/>
          <w:sz w:val="20"/>
          <w:szCs w:val="20"/>
        </w:rPr>
        <w:t xml:space="preserve">2 views with 4 tabs — Queue (table) and Patient 360 View (tabbed: Overview, Decision Card, Medications, Behavioral Intel)</w:t>
      </w:r>
    </w:p>
    <w:p>
      <w:pPr>
        <w:spacing w:after="120"/>
      </w:pPr>
      <w:r>
        <w:rPr>
          <w:rFonts w:ascii="Arial" w:cs="Arial" w:eastAsia="Arial" w:hAnsi="Arial"/>
          <w:color w:val="546E7A"/>
          <w:sz w:val="20"/>
          <w:szCs w:val="20"/>
        </w:rPr>
        <w:t xml:space="preserve">The 360 Overview tab provides a 3-column, 3-row grid of clinical intelligence panels: MRI score + domains, MRI trajectory sparkline, behavioral adherence radar, FBG trend, SBP trend, eGFR trend, KB-26 Tier 2 physiological state, KB-26 Tier 3 estimated variables, and deterioration alerts with protocol status. This gives the physician a complete patient picture before reviewing the decision card.</w:t>
      </w:r>
    </w:p>
    <w:p>
      <w:pPr>
        <w:pStyle w:val="Heading1"/>
        <w:spacing w:after="200" w:before="360"/>
      </w:pPr>
      <w:r>
        <w:rPr>
          <w:rFonts w:ascii="Arial" w:cs="Arial" w:eastAsia="Arial" w:hAnsi="Arial"/>
          <w:b/>
          <w:bCs/>
          <w:color w:val="1B3A5C"/>
          <w:sz w:val="28"/>
          <w:szCs w:val="28"/>
        </w:rPr>
        <w:t xml:space="preserve">7. Key Data Shape Changes (V1 to 360)</w:t>
      </w:r>
    </w:p>
    <w:p>
      <w:pPr>
        <w:spacing w:after="80"/>
      </w:pPr>
      <w:r>
        <w:rPr>
          <w:rFonts w:ascii="Arial" w:cs="Arial" w:eastAsia="Arial" w:hAnsi="Arial"/>
          <w:b/>
          <w:bCs/>
          <w:color w:val="1B3A5C"/>
          <w:sz w:val="20"/>
          <w:szCs w:val="20"/>
        </w:rPr>
        <w:t xml:space="preserve">Medications: </w:t>
      </w:r>
      <w:r>
        <w:rPr>
          <w:rFonts w:ascii="Arial" w:cs="Arial" w:eastAsia="Arial" w:hAnsi="Arial"/>
          <w:color w:val="546E7A"/>
          <w:sz w:val="20"/>
          <w:szCs w:val="20"/>
        </w:rPr>
        <w:t xml:space="preserve">V1 used string array ["Metformin 1000mg BD"]. 360 uses object array [{name, since, status}] + separate medHistory array [{date, action, drug, reason}].</w:t>
      </w:r>
    </w:p>
    <w:p>
      <w:pPr>
        <w:spacing w:after="80"/>
      </w:pPr>
      <w:r>
        <w:rPr>
          <w:rFonts w:ascii="Arial" w:cs="Arial" w:eastAsia="Arial" w:hAnsi="Arial"/>
          <w:b/>
          <w:bCs/>
          <w:color w:val="1B3A5C"/>
          <w:sz w:val="20"/>
          <w:szCs w:val="20"/>
        </w:rPr>
        <w:t xml:space="preserve">Protocol: </w:t>
      </w:r>
      <w:r>
        <w:rPr>
          <w:rFonts w:ascii="Arial" w:cs="Arial" w:eastAsia="Arial" w:hAnsi="Arial"/>
          <w:color w:val="546E7A"/>
          <w:sz w:val="20"/>
          <w:szCs w:val="20"/>
        </w:rPr>
        <w:t xml:space="preserve">V1 used string format "Phase 2 - Day 28". 360 uses structured {phase, day, status} per protocol (PRP, VFRP).</w:t>
      </w:r>
    </w:p>
    <w:p>
      <w:pPr>
        <w:spacing w:after="80"/>
      </w:pPr>
      <w:r>
        <w:rPr>
          <w:rFonts w:ascii="Arial" w:cs="Arial" w:eastAsia="Arial" w:hAnsi="Arial"/>
          <w:b/>
          <w:bCs/>
          <w:color w:val="1B3A5C"/>
          <w:sz w:val="20"/>
          <w:szCs w:val="20"/>
        </w:rPr>
        <w:t xml:space="preserve">Signals: </w:t>
      </w:r>
      <w:r>
        <w:rPr>
          <w:rFonts w:ascii="Arial" w:cs="Arial" w:eastAsia="Arial" w:hAnsi="Arial"/>
          <w:color w:val="546E7A"/>
          <w:sz w:val="20"/>
          <w:szCs w:val="20"/>
        </w:rPr>
        <w:t xml:space="preserve">V1 had 10 signal fields. 360 adds dbp, hr, gv (glycemic variability), tgHdl (TG/HDL ratio) for a total of 14 signal fields.</w:t>
      </w:r>
    </w:p>
    <w:p>
      <w:pPr>
        <w:spacing w:after="80"/>
      </w:pPr>
      <w:r>
        <w:rPr>
          <w:rFonts w:ascii="Arial" w:cs="Arial" w:eastAsia="Arial" w:hAnsi="Arial"/>
          <w:b/>
          <w:bCs/>
          <w:color w:val="1B3A5C"/>
          <w:sz w:val="20"/>
          <w:szCs w:val="20"/>
        </w:rPr>
        <w:t xml:space="preserve">Patient demographics: </w:t>
      </w:r>
      <w:r>
        <w:rPr>
          <w:rFonts w:ascii="Arial" w:cs="Arial" w:eastAsia="Arial" w:hAnsi="Arial"/>
          <w:color w:val="546E7A"/>
          <w:sz w:val="20"/>
          <w:szCs w:val="20"/>
        </w:rPr>
        <w:t xml:space="preserve">360 adds abhaId, enrollDate, currentDay, phone to the patient summary.</w:t>
      </w:r>
    </w:p>
    <w:p>
      <w:pPr>
        <w:spacing w:after="80"/>
      </w:pPr>
      <w:r>
        <w:rPr>
          <w:rFonts w:ascii="Arial" w:cs="Arial" w:eastAsia="Arial" w:hAnsi="Arial"/>
          <w:b/>
          <w:bCs/>
          <w:color w:val="1B3A5C"/>
          <w:sz w:val="20"/>
          <w:szCs w:val="20"/>
        </w:rPr>
        <w:t xml:space="preserve">Twin State: </w:t>
      </w:r>
      <w:r>
        <w:rPr>
          <w:rFonts w:ascii="Arial" w:cs="Arial" w:eastAsia="Arial" w:hAnsi="Arial"/>
          <w:color w:val="546E7A"/>
          <w:sz w:val="20"/>
          <w:szCs w:val="20"/>
        </w:rPr>
        <w:t xml:space="preserve">Entirely new. Three-tier structure: Tier 1 (direct observables), Tier 2 (derived composites like visceral fat estimate, renal slope, MAP, GV), Tier 3 (latent variable estimates with confidence scores).</w:t>
      </w:r>
    </w:p>
    <w:p>
      <w:pPr>
        <w:spacing w:after="80"/>
      </w:pPr>
      <w:r>
        <w:rPr>
          <w:rFonts w:ascii="Arial" w:cs="Arial" w:eastAsia="Arial" w:hAnsi="Arial"/>
          <w:b/>
          <w:bCs/>
          <w:color w:val="1B3A5C"/>
          <w:sz w:val="20"/>
          <w:szCs w:val="20"/>
        </w:rPr>
        <w:t xml:space="preserve">Behavioral Profile: </w:t>
      </w:r>
      <w:r>
        <w:rPr>
          <w:rFonts w:ascii="Arial" w:cs="Arial" w:eastAsia="Arial" w:hAnsi="Arial"/>
          <w:color w:val="546E7A"/>
          <w:sz w:val="20"/>
          <w:szCs w:val="20"/>
        </w:rPr>
        <w:t xml:space="preserve">Entirely new. Includes BCE archetype classification, barrier identification, engagement scoring, checkin tracking, Bayesian technique effectiveness, and per-behavior adherence percentages.</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0A4AE"/>
        <w:sz w:val="14"/>
        <w:szCs w:val="14"/>
      </w:rPr>
      <w:t xml:space="preserve">Page </w:t>
    </w:r>
    <w:r>
      <w:rPr>
        <w:rFonts w:ascii="Arial" w:cs="Arial" w:eastAsia="Arial" w:hAnsi="Arial"/>
        <w:color w:val="90A4A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b/>
        <w:bCs/>
        <w:color w:val="1B3A5C"/>
        <w:sz w:val="16"/>
        <w:szCs w:val="16"/>
      </w:rPr>
      <w:t xml:space="preserve">Doctor Dashboard 360 — API Endpoint &amp; Trigger Reference</w:t>
    </w:r>
    <w:r>
      <w:rPr>
        <w:rFonts w:ascii="Arial" w:cs="Arial" w:eastAsia="Arial" w:hAnsi="Arial"/>
        <w:b/>
        <w:bCs/>
        <w:color w:val="C62828"/>
        <w:sz w:val="14"/>
        <w:szCs w:val="14"/>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2026-03-20T09:49:51.232Z</dcterms:created>
  <dcterms:modified xsi:type="dcterms:W3CDTF">2026-03-20T09:49:51.232Z</dcterms:modified>
</cp:coreProperties>
</file>

<file path=docProps/custom.xml><?xml version="1.0" encoding="utf-8"?>
<Properties xmlns="http://schemas.openxmlformats.org/officeDocument/2006/custom-properties" xmlns:vt="http://schemas.openxmlformats.org/officeDocument/2006/docPropsVTypes"/>
</file>