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Arial" w:cs="Arial" w:eastAsia="Arial" w:hAnsi="Arial"/>
          <w:b/>
          <w:bCs/>
          <w:color w:val="1B3A5C"/>
          <w:sz w:val="56"/>
          <w:szCs w:val="56"/>
        </w:rPr>
        <w:t xml:space="preserve">Lifestyle Intelligence Stack</w:t>
      </w:r>
    </w:p>
    <w:p>
      <w:pPr>
        <w:spacing w:after="160"/>
        <w:jc w:val="center"/>
      </w:pPr>
      <w:r>
        <w:rPr>
          <w:rFonts w:ascii="Arial" w:cs="Arial" w:eastAsia="Arial" w:hAnsi="Arial"/>
          <w:color w:val="2E7D32"/>
          <w:sz w:val="28"/>
          <w:szCs w:val="28"/>
        </w:rPr>
        <w:t xml:space="preserve">Unified Flow, Dependency Map, and Implementation Plan</w:t>
      </w:r>
    </w:p>
    <w:p>
      <w:pPr>
        <w:spacing w:after="400"/>
        <w:jc w:val="center"/>
      </w:pPr>
      <w:r>
        <w:rPr>
          <w:rFonts w:ascii="Arial" w:cs="Arial" w:eastAsia="Arial" w:hAnsi="Arial"/>
          <w:i/>
          <w:iCs/>
          <w:color w:val="666666"/>
          <w:sz w:val="22"/>
          <w:szCs w:val="22"/>
        </w:rPr>
        <w:t xml:space="preserve">KB-25 Lifestyle Knowledge Graph  +  M3 Protocol Templates (PRP / VFRP)  +  KB-26 Metabolic Digital Twin</w:t>
      </w:r>
    </w:p>
    <w:p>
      <w:pPr>
        <w:spacing w:after="120"/>
        <w:jc w:val="center"/>
      </w:pPr>
      <w:r>
        <w:rPr>
          <w:rFonts w:ascii="Arial" w:cs="Arial" w:eastAsia="Arial" w:hAnsi="Arial"/>
          <w:color w:val="666666"/>
          <w:sz w:val="20"/>
          <w:szCs w:val="20"/>
        </w:rPr>
        <w:t xml:space="preserve">Integrating with: KB-20 Longitudinal Engine  |  KB-21 Behavioral Layer  |  KB-23 Decision Cards  |  KB-24/V-MCU Medication Engine</w:t>
      </w:r>
    </w:p>
    <w:p>
      <w:pPr>
        <w:spacing w:after="80"/>
        <w:jc w:val="center"/>
      </w:pPr>
      <w:r>
        <w:rPr>
          <w:rFonts w:ascii="Arial" w:cs="Arial" w:eastAsia="Arial" w:hAnsi="Arial"/>
          <w:color w:val="666666"/>
          <w:sz w:val="20"/>
          <w:szCs w:val="20"/>
        </w:rPr>
        <w:t xml:space="preserve">Version 1.0.0  |  March 2026</w:t>
      </w:r>
    </w:p>
    <w:p>
      <w:pPr>
        <w:jc w:val="center"/>
      </w:pPr>
      <w:r>
        <w:rPr>
          <w:rFonts w:ascii="Arial" w:cs="Arial" w:eastAsia="Arial" w:hAnsi="Arial"/>
          <w:b/>
          <w:bCs/>
          <w:color w:val="C62828"/>
          <w:sz w:val="18"/>
          <w:szCs w:val="18"/>
        </w:rPr>
        <w:t xml:space="preserve">CONFIDENTIAL — Internal Architecture Document</w:t>
      </w:r>
    </w:p>
    <w:p>
      <w:r>
        <w:br w:type="page"/>
      </w:r>
    </w:p>
    <w:p>
      <w:pPr>
        <w:pStyle w:val="Heading1"/>
        <w:spacing w:before="360" w:after="200"/>
      </w:pPr>
      <w:r>
        <w:rPr>
          <w:rFonts w:ascii="Arial" w:cs="Arial" w:eastAsia="Arial" w:hAnsi="Arial"/>
          <w:b/>
          <w:bCs/>
          <w:color w:val="1B3A5C"/>
          <w:sz w:val="32"/>
          <w:szCs w:val="32"/>
        </w:rPr>
        <w:t xml:space="preserve">1. Executive Summary</w:t>
      </w:r>
    </w:p>
    <w:p>
      <w:pPr>
        <w:spacing w:after="120" w:line="276"/>
      </w:pPr>
      <w:r>
        <w:rPr>
          <w:rFonts w:ascii="Arial" w:cs="Arial" w:eastAsia="Arial" w:hAnsi="Arial"/>
          <w:color w:val="333333"/>
          <w:sz w:val="22"/>
          <w:szCs w:val="22"/>
        </w:rPr>
        <w:t xml:space="preserve">Three specification documents collectively define a </w:t>
      </w:r>
      <w:r>
        <w:rPr>
          <w:rFonts w:ascii="Arial" w:cs="Arial" w:eastAsia="Arial" w:hAnsi="Arial"/>
          <w:b/>
          <w:bCs/>
          <w:color w:val="333333"/>
          <w:sz w:val="22"/>
          <w:szCs w:val="22"/>
        </w:rPr>
        <w:t xml:space="preserve">Lifestyle Intelligence Stack</w:t>
      </w:r>
      <w:r>
        <w:rPr>
          <w:rFonts w:ascii="Arial" w:cs="Arial" w:eastAsia="Arial" w:hAnsi="Arial"/>
          <w:color w:val="333333"/>
          <w:sz w:val="22"/>
          <w:szCs w:val="22"/>
        </w:rPr>
        <w:t xml:space="preserve"> that transforms the metabolic correction loop from a system that manages medication into a system that reasons about food, exercise, and medication as a unified therapeutic space. This document synthesizes them into a single operational flow, maps every dependency, identifies the critical path, and delivers a 20-week implementation plan with parallel work streams.</w:t>
      </w:r>
    </w:p>
    <w:p>
      <w:pPr>
        <w:spacing w:after="60"/>
      </w:pPr>
    </w:p>
    <w:p>
      <w:pPr>
        <w:pStyle w:val="Heading2"/>
        <w:spacing w:before="280" w:after="160"/>
      </w:pPr>
      <w:r>
        <w:rPr>
          <w:rFonts w:ascii="Arial" w:cs="Arial" w:eastAsia="Arial" w:hAnsi="Arial"/>
          <w:b/>
          <w:bCs/>
          <w:color w:val="2E7D32"/>
          <w:sz w:val="28"/>
          <w:szCs w:val="28"/>
        </w:rPr>
        <w:t xml:space="preserve">1.1 The Three Components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
        <w:gridCol w:w="400"/>
        <w:gridCol w:w="2200"/>
        <w:gridCol w:w="2800"/>
        <w:gridCol w:w="22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KB ID</w:t>
            </w:r>
          </w:p>
        </w:tc>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It Is</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2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Analogy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Lifestyle Knowledge Graph</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w:t>
            </w:r>
          </w:p>
        </w:tc>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8136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 causal knowledge graph: 887 nodes, ~5,230 edges connecting food, exercise, nutrients, physiological processes, and clinical outcomes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Answers: What effect will this food or exercise have on this patient’s glucose / BP / waist? With what confidence? Over what timeframe? With what safety constraints?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textbook: contains all the medical knowledge about how lifestyle affects metabolism</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M3 Protocol Templates (PRP + VFRP)</w:t>
            </w:r>
          </w:p>
        </w:tc>
        <w:tc>
          <w:tcPr>
            <w:tcW w:type="dxa" w:w="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KB-20 templates</w:t>
            </w:r>
          </w:p>
        </w:tc>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8131 (KB-20)</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Two 12-week phase-based protocol state machines registered in KB-20’s protocol registry</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Orchestrate protein restoration and visceral fat reduction as clinical interventions with trigger conditions, phase transitions, adherence monitoring, escalation rules, and physician review gates</w:t>
            </w:r>
          </w:p>
        </w:tc>
        <w:tc>
          <w:tcPr>
            <w:tcW w:type="dxa" w:w="2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The treatment plan: executes the textbook knowledge as a time-sequenced clinical protocol for each patient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Metabolic Digital Twin</w:t>
            </w:r>
          </w:p>
        </w:tc>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w:t>
            </w:r>
          </w:p>
        </w:tc>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8137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 patient-specific metabolic model with three tiers of physiological state variables, coupled forward simulation, and Bayesian calibration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Maintains each patient’s derived metabolic phenotype, simulates intervention outcomes using coupled dynamics, and calibrates population-level effects to each patient’s observed responses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The patient model: learns how each individual patient’s metabolism actually responds, and predicts what will happen next</w:t>
            </w:r>
          </w:p>
        </w:tc>
      </w:tr>
    </w:tbl>
    <w:p>
      <w:pPr>
        <w:spacing w:after="60"/>
      </w:pPr>
    </w:p>
    <w:p>
      <w:pPr>
        <w:pStyle w:val="Heading2"/>
        <w:spacing w:before="280" w:after="160"/>
      </w:pPr>
      <w:r>
        <w:rPr>
          <w:rFonts w:ascii="Arial" w:cs="Arial" w:eastAsia="Arial" w:hAnsi="Arial"/>
          <w:b/>
          <w:bCs/>
          <w:color w:val="2E7D32"/>
          <w:sz w:val="28"/>
          <w:szCs w:val="28"/>
        </w:rPr>
        <w:t xml:space="preserve">1.2 The One-Sentence Summary</w:t>
      </w:r>
    </w:p>
    <w:p>
      <w:pPr>
        <w:pBdr>
          <w:left w:val="single" w:color="1B3A5C" w:sz="12" w:space="8"/>
        </w:pBdr>
        <w:shd w:fill="E8F5E9" w:val="clear"/>
        <w:spacing w:after="160"/>
        <w:ind w:left="360" w:right="360"/>
      </w:pPr>
      <w:r>
        <w:rPr>
          <w:rFonts w:ascii="Arial" w:cs="Arial" w:eastAsia="Arial" w:hAnsi="Arial"/>
          <w:i/>
          <w:iCs/>
          <w:color w:val="333333"/>
          <w:sz w:val="21"/>
          <w:szCs w:val="21"/>
        </w:rPr>
        <w:t xml:space="preserve">KB-25 knows how lifestyle affects physiology. M3 protocols execute lifestyle interventions as clinical programs. KB-26 learns how each individual patient’s physiology actually responds, and feeds that learning back to KB-25 so its projections get more accurate over time.</w:t>
      </w:r>
    </w:p>
    <w:p>
      <w:r>
        <w:br w:type="page"/>
      </w:r>
    </w:p>
    <w:p>
      <w:pPr>
        <w:pStyle w:val="Heading1"/>
        <w:spacing w:before="360" w:after="200"/>
      </w:pPr>
      <w:r>
        <w:rPr>
          <w:rFonts w:ascii="Arial" w:cs="Arial" w:eastAsia="Arial" w:hAnsi="Arial"/>
          <w:b/>
          <w:bCs/>
          <w:color w:val="1B3A5C"/>
          <w:sz w:val="32"/>
          <w:szCs w:val="32"/>
        </w:rPr>
        <w:t xml:space="preserve">2. Unified Flow: How the Three Components Work Together</w:t>
      </w:r>
    </w:p>
    <w:p>
      <w:pPr>
        <w:spacing w:after="120" w:line="276"/>
      </w:pPr>
      <w:r>
        <w:rPr>
          <w:rFonts w:ascii="Arial" w:cs="Arial" w:eastAsia="Arial" w:hAnsi="Arial"/>
          <w:color w:val="333333"/>
          <w:sz w:val="22"/>
          <w:szCs w:val="22"/>
        </w:rPr>
        <w:t xml:space="preserve">This section traces a single patient’s journey through the complete Lifestyle Intelligence Stack, from initial enrollment to 12-week graduation, showing exactly which component does what at each step.</w:t>
      </w:r>
    </w:p>
    <w:p>
      <w:pPr>
        <w:spacing w:after="60"/>
      </w:pPr>
    </w:p>
    <w:p>
      <w:pPr>
        <w:pStyle w:val="Heading2"/>
        <w:spacing w:before="280" w:after="160"/>
      </w:pPr>
      <w:r>
        <w:rPr>
          <w:rFonts w:ascii="Arial" w:cs="Arial" w:eastAsia="Arial" w:hAnsi="Arial"/>
          <w:b/>
          <w:bCs/>
          <w:color w:val="2E7D32"/>
          <w:sz w:val="28"/>
          <w:szCs w:val="28"/>
        </w:rPr>
        <w:t xml:space="preserve">2.1 End-to-End Patient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800"/>
        <w:gridCol w:w="1800"/>
        <w:gridCol w:w="1800"/>
        <w:gridCol w:w="22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KB-25 Role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M3 Protocol Role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KB-26 Role</w:t>
            </w:r>
          </w:p>
        </w:tc>
        <w:tc>
          <w:tcPr>
            <w:tcW w:type="dxa" w:w="22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KB-20/21/23 Role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 Patient Enrolled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Tier-1 intake completes. KB-20 receives baseline labs, anthropometry, dietary history.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Not yet active. Data is being collected.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Not yet active. Trigger conditions being evaluated.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Initializes twin: populates Tier 1 fields (FBG, SBP, eGFR, waist, steps) from KB-20 baseline. Computes Tier 2 derivations (visceral fat proxy, MAP, TG/HDL ratio). Tier 3 fields set to UNKNOWN with confidence 0.0.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KB-20: creates patient longitudinal record. KB-21: baseline behavioral assessment. KB-23: no Decision Card yet.</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2. Protocol Trigger Evaluation</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KB-20 detects: protein_gap &gt;= 20g/day AND waist &gt;= 90cm (male). Both M3-PRP and M3-VFRP entry criteria met.</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 POST /check-safety: validates no renal contraindication (LS-01 eGFR check), no underweight suppression (LS-15 BMI check), no eating disorder flag (LS-14).</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M3-PRP Phase 0 + M3-VFRP Phase 0 activated concurrently. Both enter BASELINE state.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KB-26 twin state consulted for safety check enrichment: eGFR slope (Tier 2) may reveal declining renal trajectory that point eGFR alone misses.</w:t>
            </w:r>
          </w:p>
        </w:tc>
        <w:tc>
          <w:tcPr>
            <w:tcW w:type="dxa" w:w="2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KB-20: flags protocol activation. KB-23: generates dual-protocol activation Decision Card for physician.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 Physician Approval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Physician reviews Decision Card: protein gap, waist measurement, visceral risk score, safety clearance, projected 90-day trajectory.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 POST /compare-interventions: generates lifestyle vs medication comparison for the Decision Card. Shows projected FBG with lifestyle-only vs lifestyle+medication.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Protocols remain in Phase 0 until physician approves (or 48h auto-approve if no safety flags).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POST /simulate: coupled simulation of PRP+VFRP combined 90-day trajectory appears on Decision Card.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KB-23: renders Decision Card with KB-25 comparison + KB-26 simulation. Physician actions: Approve / Modify / Refer.</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4. Phase 1 Begins (Weeks 1-2)</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Physician approval received. Both protocols transition to Phase 1.</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 POST /recommend-lifestyle: returns patient-specific food recommendations (protein sources by region + diet type + cost tier) and carb substitution recommendations (region-specific GI swaps). POST /check-safety: validates exercise prescription (LS-02 to LS-10).</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M3-PRP Phase 1 (Protein Stabilization): target 0.8g/kg/day, add protein foods gradually. M3-VFRP Phase 1 (Metabolic Stabilization): carb quality substitutions, fiber increase. Shared: post-meal walking prescribed.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KB-26 begins receiving observations. Twin updates on every KB-20 data point. Tier 3 estimates begin at lowest confidence. No calibration yet (insufficient data).</w:t>
            </w:r>
          </w:p>
        </w:tc>
        <w:tc>
          <w:tcPr>
            <w:tcW w:type="dxa" w:w="2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KB-20: tracks phase state for both protocols. KB-21: sends Day 1 message (protein focus), Day 4 check-in (activity focus), interleaved cadence. KB-23: no card unless adherence &lt; 40% at Day 10.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 Phase 1 Check-ins (Days 4, 7, 11, 14)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KB-21 check-in signals: protein_intake_score, daily_steps, meal_quality_score, PPBG readings.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 POST /recommend-lifestyle with adherence data: adjusts food suggestions if initial recommendations poorly tolerated. Returns alternative protein sources or simpler carb swaps.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Both protocols evaluate adherence against phase transition rules. If protein_adherence &lt; 60% at Day 14 → extend Phase 1 to Day 21. If meal_adherence &lt; 50% → simplify VFRP substitutions.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twin updated with each check-in observation. FBG trend begins forming after Day 7 (2+ readings). Visceral fat proxy unchanged (waist not remeasured yet). Tier 3 InsulinSensitivity still LOW confidence.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KB-20: stores all observations. KB-21: computes adherence scores, selects message tone. KB-23: silent unless safety or low-adherence flag.</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6. Phase 2 Begins (Weeks 3-6)</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Phase transition: Day &gt;= 14 AND adherence thresholds met AND no safety flags.</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 protein recommendations escalate to 1.0 g/kg target foods. Leucine check (E-01): validates &gt;= 2.5g leucine per meal. Exercise: returns EX_RESISTANCE_LIGHT prescription (shared for both protocols). Carb chain (Chain 3): full substitution set activated.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M3-PRP Phase 2 (Muscle Restoration): protein 1.0-1.2 g/kg, resistance 3x/week. M3-VFRP Phase 2 (Fat Mobilization): steps to 7000, plate model enforced. SHARED exercise prescription — not duplicated.</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KB-26: after 14+ days of data, Tier 2 derivations stabilizing (GlycemicVariability, DawnPhenomenon assessable). Tier 3 InsulinSensitivity begins trajectory-based estimation (Method B) if no medication changes occurred. Confidence: ~0.3.</w:t>
            </w:r>
          </w:p>
        </w:tc>
        <w:tc>
          <w:tcPr>
            <w:tcW w:type="dxa" w:w="2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KB-20: phase state updated for both protocols. KB-21: biweekly check-ins begin. Resistance training coaching messages on exercise days. KB-23: routine Day 28 review card with labs.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 Day 28 Lab Check + Review</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Creatinine + eGFR recheck (safety). 4 weeks of FBG/PPBG data now available.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 POST /attribute-outcome: attributes observed FBG change to lifestyle vs medication contributions. Returns: protein attribution %, walking attribution %, carb substitution attribution %, medication attribution %.</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Both protocols: evaluate trajectory. If FBG worsening despite adherence → trigger KB-25 Comparator for medication escalation review. If adherence &lt; 50% at Day 28 → flag for physician.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POST /calibrate: FIRST Bayesian calibration run. Uses 4 weeks of observed data to begin adjusting KB-25 population effects to this patient. CalibratedEffect entries created with Observations: 1, Confidence: 0.4. eGFR slope computation now has 2 data points → RenalTrajectory assessable.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KB-23: Day 28 Decision Card with attribution breakdown, eGFR safety check, trajectory visualization, KB-26 physiological context. KB-20: stores lab results, recomputes trajectory.</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8. Phase 3 Begins (Weeks 7-12)</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Phase transition: Day &gt;= 42 AND adherence thresholds met. Both protocols enter final phase.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 exercise progression (EX_RESISTANCE_LIGHT → EX_RESISTANCE_MODERATE). Sodium reduction chain (Chain 4) activated for VFRP. KB-25 now uses KB-26 calibrated effects for projections — predictions are patient-specific, not population-level.</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M3-PRP Phase 3 (Optimization): maintain protein, add carb quality layer, progress exercise. M3-VFRP Phase 3 (Sustained Reduction): steps 8000+, sodium reduction, maintain plate model. DAY 63 CHECK: if trajectory RED → escalate to V-MCU.</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KB-26: 6-8 weeks of data. Tier 2 variables well-established. Tier 3 InsulinSensitivity confidence: ~0.5. Coupled simulation now uses calibrated coefficients. POST /simulate produces patient-specific trajectory projections with meaningful confidence intervals.</w:t>
            </w:r>
          </w:p>
        </w:tc>
        <w:tc>
          <w:tcPr>
            <w:tcW w:type="dxa" w:w="2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KB-20: monitors trajectory classification. RED at Day 63 triggers V-MCU medication review. KB-21: monthly reinforcement cadence. KB-23: physiologically-enriched Decision Cards.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9. Day 63 Trajectory Check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Critical decision point: is lifestyle working, or must we escalate to medication?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 POST /compare-interventions: now uses KB-26 calibrated effects. Comparison: lifestyle intensification vs medication addition, using this patient’s actual observed response. Much more accurate than population-level comparison at Day 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If GREEN: continue. If YELLOW: extend protocols by 45 days, intensify. If RED: both protocols flag escalation. V-MCU receives KB-25 Comparator output + KB-26 twin state for mechanism-informed medication selection.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POST /simulate-comparison: runs coupled simulation of three scenarios: (a) lifestyle intensification, (b) Metformin addition, (c) lifestyle + Metformin combined. Uses patient-specific calibrated effects. Results appear on KB-23 Decision Card.</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KB-23: most critical Decision Card of the cycle. Shows trajectory, attribution, KB-26 simulation scenarios, physician recommendation with evidence grades.</w:t>
            </w:r>
          </w:p>
        </w:tc>
      </w:tr>
      <w:tr>
        <w:tc>
          <w:tcPr>
            <w:tcW w:type="dxa" w:w="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10. Day 84 Graduation Review</w:t>
            </w:r>
          </w:p>
        </w:tc>
        <w:tc>
          <w:tcPr>
            <w:tcW w:type="dxa" w:w="1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End of 12-week cycle.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 POST /attribute-outcome: final attribution decomposition. How much of the total improvement came from protein (%), walking (%), carb quality (%), medication (%). Evidence for lifestyle’s clinical contribution.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SUCCESS criteria evaluated: PRP: protein &gt;= 0.9 g/kg sustained 4+ weeks AND KB-25 attribution &gt;= 15%. VFRP: waist reduction &gt;= 3cm OR TG reduction &gt;= 15%. If met: graduate to maintenance. If not: extend or escalate.</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KB-26: final twin state snapshot. Full calibration profile stored. Patient now has a calibrated metabolic model that future correction cycles can reuse. Confidence scores across all tiers documented.</w:t>
            </w:r>
          </w:p>
        </w:tc>
        <w:tc>
          <w:tcPr>
            <w:tcW w:type="dxa" w:w="22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KB-23: comprehensive 12-week review card. KB-20: protocol state → GRADUATED or EXTENDED. KB-21: cadence shifts to monthly maintenance.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11. Post-Graduation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Patient enters maintenance monitoring.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 dormant queries. Reactivated if monthly check-in shows regression.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M3-PRP: re-activates if protein_adherence drops &lt; 60% for 4 consecutive weeks. M3-VFRP: re-activates if waist increases &gt; 2cm over any 8-week period.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twin continues updating on monthly observations. Calibrated effects retained — not discarded. If patient re-enters correction loop, system starts with a calibrated model, not population defaults.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KB-20: monthly monitoring cadence. KB-21: monthly check-in. KB-23: card only if regression detected.</w:t>
            </w:r>
          </w:p>
        </w:tc>
      </w:tr>
    </w:tbl>
    <w:p>
      <w:r>
        <w:br w:type="page"/>
      </w:r>
    </w:p>
    <w:p>
      <w:pPr>
        <w:pStyle w:val="Heading1"/>
        <w:spacing w:before="360" w:after="200"/>
      </w:pPr>
      <w:r>
        <w:rPr>
          <w:rFonts w:ascii="Arial" w:cs="Arial" w:eastAsia="Arial" w:hAnsi="Arial"/>
          <w:b/>
          <w:bCs/>
          <w:color w:val="1B3A5C"/>
          <w:sz w:val="32"/>
          <w:szCs w:val="32"/>
        </w:rPr>
        <w:t xml:space="preserve">3. Dependency Map: What Requires What</w:t>
      </w:r>
    </w:p>
    <w:p>
      <w:pPr>
        <w:spacing w:after="120" w:line="276"/>
      </w:pPr>
      <w:r>
        <w:rPr>
          <w:rFonts w:ascii="Arial" w:cs="Arial" w:eastAsia="Arial" w:hAnsi="Arial"/>
          <w:color w:val="333333"/>
          <w:sz w:val="22"/>
          <w:szCs w:val="22"/>
        </w:rPr>
        <w:t xml:space="preserve">Understanding which component depends on which is essential for sequencing implementation. Some dependencies are hard (cannot function without), and some are soft (functions with reduced capability).</w:t>
      </w:r>
    </w:p>
    <w:p>
      <w:pPr>
        <w:spacing w:after="60"/>
      </w:pPr>
    </w:p>
    <w:p>
      <w:pPr>
        <w:pStyle w:val="Heading2"/>
        <w:spacing w:before="280" w:after="160"/>
      </w:pPr>
      <w:r>
        <w:rPr>
          <w:rFonts w:ascii="Arial" w:cs="Arial" w:eastAsia="Arial" w:hAnsi="Arial"/>
          <w:b/>
          <w:bCs/>
          <w:color w:val="2E7D32"/>
          <w:sz w:val="28"/>
          <w:szCs w:val="28"/>
        </w:rPr>
        <w:t xml:space="preserve">3.1 Hard Dependencies (Cannot Function Without)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3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Hard Dependency</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Why</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Failure Mode If Missing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Neo4j 5.x graph database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causal chain data stored in Neo4j. No graph = no knowledge.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Service cannot start.</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IFCT-2017 food data loaded</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Without food nodes, no food recommendations possible.</w:t>
            </w:r>
          </w:p>
        </w:tc>
        <w:tc>
          <w:tcPr>
            <w:tcW w:type="dxa" w:w="3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Food search returns empty. Comparator Engine has no lifestyle options.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ACSM/WHO exercise data loaded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Without exercise nodes, no exercise prescriptions possible.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Exercise recommendations return empty.</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M3-PRP</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KB-20 operational</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Protocol templates execute within KB-20’s state machine. No KB-20 = no orchestration.</w:t>
            </w:r>
          </w:p>
        </w:tc>
        <w:tc>
          <w:tcPr>
            <w:tcW w:type="dxa" w:w="3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Protocol cannot activate or track phases.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M3-PRP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 operational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Protocol queries KB-25 for food recommendations, safety checks, and projections at every phase transition.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Protocol can activate but cannot generate food recommendations or safety-check protein targets against renal function.</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M3-VFRP</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KB-20 operational</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Same as M3-PRP.</w:t>
            </w:r>
          </w:p>
        </w:tc>
        <w:tc>
          <w:tcPr>
            <w:tcW w:type="dxa" w:w="3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Same as M3-PRP.</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M3-VFRP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 operational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Protocol queries KB-25 for carb substitutions, exercise prescriptions, and visceral fat chain projections.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Protocol can activate but produces generic rather than patient-specific interventions.</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KB-26</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KB-20 operational</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Twin state built entirely from KB-20 observations. No KB-20 = no raw data to derive from.</w:t>
            </w:r>
          </w:p>
        </w:tc>
        <w:tc>
          <w:tcPr>
            <w:tcW w:type="dxa" w:w="3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Service cannot produce any twin state.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calibration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 operational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Bayesian calibration uses KB-25 attribution to isolate intervention-specific effects.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Twin state computable but calibration impossible. System limited to population-level effects.</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KB-26 simulation</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 causal chains</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Forward simulation uses KB-25 effect sizes (calibrated or population) as input coefficients.</w:t>
            </w:r>
          </w:p>
        </w:tc>
        <w:tc>
          <w:tcPr>
            <w:tcW w:type="dxa" w:w="3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Simulation returns no results. Decision Cards lose comparison panels.</w:t>
            </w:r>
          </w:p>
        </w:tc>
      </w:tr>
    </w:tbl>
    <w:p>
      <w:pPr>
        <w:spacing w:after="60"/>
      </w:pPr>
    </w:p>
    <w:p>
      <w:pPr>
        <w:pStyle w:val="Heading2"/>
        <w:spacing w:before="280" w:after="160"/>
      </w:pPr>
      <w:r>
        <w:rPr>
          <w:rFonts w:ascii="Arial" w:cs="Arial" w:eastAsia="Arial" w:hAnsi="Arial"/>
          <w:b/>
          <w:bCs/>
          <w:color w:val="2E7D32"/>
          <w:sz w:val="28"/>
          <w:szCs w:val="28"/>
        </w:rPr>
        <w:t xml:space="preserve">3.2 Soft Dependencies (Functions with Reduced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Soft Dependency</w:t>
            </w:r>
          </w:p>
        </w:tc>
        <w:tc>
          <w:tcPr>
            <w:tcW w:type="dxa" w:w="3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Behavior Without It</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Degradation Level</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calibrated effects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Uses population-level effect sizes with patient-context modifiers only. Still clinically useful but less personalized.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MINOR. KB-25 is fully functional without KB-26. KB-26 makes it better, not possible.</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Redis cache</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All chain traversals hit Neo4j directly. Latency increases ~200ms per query. No functional degradation.</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MINOR. Performance only.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M3-PRP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KB-21 messaging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Protocol phases execute but patient receives no WhatsApp coaching messages. Adherence monitoring continues via check-in signals.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MODERATE. Adherence likely drops without behavioral coaching.</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M3-PRP</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KB-26 twin enrichment</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Phase transitions based on adherence percentages and raw lab trends only. No physiological context (e.g., ‘this patient is not responding because hepatic glucose output is dominant’).</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MODERATE. Protocol still works but cannot distinguish mechanism-level non-response from adherence-level non-response.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M3-VFRP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twin enrichment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Same as M3-PRP. Waist trajectory and TG trends used without visceral fat proxy enrichment.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MODERATE. Same.</w:t>
            </w:r>
          </w:p>
        </w:tc>
      </w:tr>
      <w:tr>
        <w:tc>
          <w:tcPr>
            <w:tcW w:type="dxa" w:w="1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KB-26</w:t>
            </w:r>
          </w:p>
        </w:tc>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V-MCU medication change events</w:t>
            </w:r>
          </w:p>
        </w:tc>
        <w:tc>
          <w:tcPr>
            <w:tcW w:type="dxa" w:w="3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Twin state does not capture medication changes. Attribution computation cannot separate lifestyle vs drug effects.</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SIGNIFICANT. Calibration accuracy degraded. Attribution unreliable.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KB-21 behavioral signals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Twin uses default 70% adherence assumption. Projections less accurate.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MODERATE. Simulation outputs wider confidence intervals.</w:t>
            </w:r>
          </w:p>
        </w:tc>
      </w:tr>
    </w:tbl>
    <w:p>
      <w:pPr>
        <w:spacing w:after="60"/>
      </w:pPr>
    </w:p>
    <w:p>
      <w:pPr>
        <w:pStyle w:val="Heading2"/>
        <w:spacing w:before="280" w:after="160"/>
      </w:pPr>
      <w:r>
        <w:rPr>
          <w:rFonts w:ascii="Arial" w:cs="Arial" w:eastAsia="Arial" w:hAnsi="Arial"/>
          <w:b/>
          <w:bCs/>
          <w:color w:val="2E7D32"/>
          <w:sz w:val="28"/>
          <w:szCs w:val="28"/>
        </w:rPr>
        <w:t xml:space="preserve">3.3 Dependency Flow Diagram (Text Representation)</w:t>
      </w:r>
    </w:p>
    <w:p>
      <w:pPr>
        <w:shd w:fill="F5F5F5" w:val="clear"/>
        <w:spacing w:after="80"/>
        <w:ind w:left="360" w:right="360"/>
      </w:pPr>
      <w:r>
        <w:rPr>
          <w:rFonts w:ascii="Courier New" w:cs="Courier New" w:eastAsia="Courier New" w:hAnsi="Courier New"/>
          <w:color w:val="333333"/>
          <w:sz w:val="19"/>
          <w:szCs w:val="19"/>
        </w:rPr>
        <w:t xml:space="preserve">                      ┌─────────────────────┐</w:t>
      </w:r>
    </w:p>
    <w:p>
      <w:pPr>
        <w:shd w:fill="F5F5F5" w:val="clear"/>
        <w:spacing w:after="80"/>
        <w:ind w:left="360" w:right="360"/>
      </w:pPr>
      <w:r>
        <w:rPr>
          <w:rFonts w:ascii="Courier New" w:cs="Courier New" w:eastAsia="Courier New" w:hAnsi="Courier New"/>
          <w:color w:val="333333"/>
          <w:sz w:val="19"/>
          <w:szCs w:val="19"/>
        </w:rPr>
        <w:t xml:space="preserve">                      │  Neo4j + IFCT/ACSM  │  ←─ Data Layer (Week 1-3)</w:t>
      </w:r>
    </w:p>
    <w:p>
      <w:pPr>
        <w:shd w:fill="F5F5F5" w:val="clear"/>
        <w:spacing w:after="80"/>
        <w:ind w:left="360" w:right="360"/>
      </w:pPr>
      <w:r>
        <w:rPr>
          <w:rFonts w:ascii="Courier New" w:cs="Courier New" w:eastAsia="Courier New" w:hAnsi="Courier New"/>
          <w:color w:val="333333"/>
          <w:sz w:val="19"/>
          <w:szCs w:val="19"/>
        </w:rPr>
        <w:t xml:space="preserve">                      └──────────┬──────────┘</w:t>
      </w:r>
    </w:p>
    <w:p>
      <w:pPr>
        <w:shd w:fill="F5F5F5" w:val="clear"/>
        <w:spacing w:after="80"/>
        <w:ind w:left="360" w:right="360"/>
      </w:pPr>
      <w:r>
        <w:rPr>
          <w:rFonts w:ascii="Courier New" w:cs="Courier New" w:eastAsia="Courier New" w:hAnsi="Courier New"/>
          <w:color w:val="333333"/>
          <w:sz w:val="19"/>
          <w:szCs w:val="19"/>
        </w:rPr>
        <w:t xml:space="preserve">                             │</w:t>
      </w:r>
    </w:p>
    <w:p>
      <w:pPr>
        <w:shd w:fill="F5F5F5" w:val="clear"/>
        <w:spacing w:after="80"/>
        <w:ind w:left="360" w:right="360"/>
      </w:pPr>
      <w:r>
        <w:rPr>
          <w:rFonts w:ascii="Courier New" w:cs="Courier New" w:eastAsia="Courier New" w:hAnsi="Courier New"/>
          <w:color w:val="333333"/>
          <w:sz w:val="19"/>
          <w:szCs w:val="19"/>
        </w:rPr>
        <w:t xml:space="preserve">                      ┌──────┴──────────┐</w:t>
      </w:r>
    </w:p>
    <w:p>
      <w:pPr>
        <w:shd w:fill="F5F5F5" w:val="clear"/>
        <w:spacing w:after="80"/>
        <w:ind w:left="360" w:right="360"/>
      </w:pPr>
      <w:r>
        <w:rPr>
          <w:rFonts w:ascii="Courier New" w:cs="Courier New" w:eastAsia="Courier New" w:hAnsi="Courier New"/>
          <w:color w:val="333333"/>
          <w:sz w:val="19"/>
          <w:szCs w:val="19"/>
        </w:rPr>
        <w:t xml:space="preserve">                      │  KB-25 LKG (8136)  │  ←─ Knowledge Layer (Week 1-8)</w:t>
      </w:r>
    </w:p>
    <w:p>
      <w:pPr>
        <w:shd w:fill="F5F5F5" w:val="clear"/>
        <w:spacing w:after="80"/>
        <w:ind w:left="360" w:right="360"/>
      </w:pPr>
      <w:r>
        <w:rPr>
          <w:rFonts w:ascii="Courier New" w:cs="Courier New" w:eastAsia="Courier New" w:hAnsi="Courier New"/>
          <w:color w:val="333333"/>
          <w:sz w:val="19"/>
          <w:szCs w:val="19"/>
        </w:rPr>
        <w:t xml:space="preserve">                      └──┬────────────┬──┘</w:t>
      </w:r>
    </w:p>
    <w:p>
      <w:pPr>
        <w:shd w:fill="F5F5F5" w:val="clear"/>
        <w:spacing w:after="80"/>
        <w:ind w:left="360" w:right="360"/>
      </w:pPr>
      <w:r>
        <w:rPr>
          <w:rFonts w:ascii="Courier New" w:cs="Courier New" w:eastAsia="Courier New" w:hAnsi="Courier New"/>
          <w:color w:val="333333"/>
          <w:sz w:val="19"/>
          <w:szCs w:val="19"/>
        </w:rPr>
        <w:t xml:space="preserve">                         │              │</w:t>
      </w:r>
    </w:p>
    <w:p>
      <w:pPr>
        <w:shd w:fill="F5F5F5" w:val="clear"/>
        <w:spacing w:after="80"/>
        <w:ind w:left="360" w:right="360"/>
      </w:pPr>
      <w:r>
        <w:rPr>
          <w:rFonts w:ascii="Courier New" w:cs="Courier New" w:eastAsia="Courier New" w:hAnsi="Courier New"/>
          <w:color w:val="333333"/>
          <w:sz w:val="19"/>
          <w:szCs w:val="19"/>
        </w:rPr>
        <w:t xml:space="preserve">              ┌────────┴────┐    ┌───┴───────────┐</w:t>
      </w:r>
    </w:p>
    <w:p>
      <w:pPr>
        <w:shd w:fill="F5F5F5" w:val="clear"/>
        <w:spacing w:after="80"/>
        <w:ind w:left="360" w:right="360"/>
      </w:pPr>
      <w:r>
        <w:rPr>
          <w:rFonts w:ascii="Courier New" w:cs="Courier New" w:eastAsia="Courier New" w:hAnsi="Courier New"/>
          <w:color w:val="333333"/>
          <w:sz w:val="19"/>
          <w:szCs w:val="19"/>
        </w:rPr>
        <w:t xml:space="preserve">              │  M3 Protocols  │    │  KB-26 MDT (8137)│  ←─ Twin Layer (Week 5-12)</w:t>
      </w:r>
    </w:p>
    <w:p>
      <w:pPr>
        <w:shd w:fill="F5F5F5" w:val="clear"/>
        <w:spacing w:after="80"/>
        <w:ind w:left="360" w:right="360"/>
      </w:pPr>
      <w:r>
        <w:rPr>
          <w:rFonts w:ascii="Courier New" w:cs="Courier New" w:eastAsia="Courier New" w:hAnsi="Courier New"/>
          <w:color w:val="333333"/>
          <w:sz w:val="19"/>
          <w:szCs w:val="19"/>
        </w:rPr>
        <w:t xml:space="preserve">              │  in KB-20      │    └──────┬──────────┘</w:t>
      </w:r>
    </w:p>
    <w:p>
      <w:pPr>
        <w:shd w:fill="F5F5F5" w:val="clear"/>
        <w:spacing w:after="80"/>
        <w:ind w:left="360" w:right="360"/>
      </w:pPr>
      <w:r>
        <w:rPr>
          <w:rFonts w:ascii="Courier New" w:cs="Courier New" w:eastAsia="Courier New" w:hAnsi="Courier New"/>
          <w:color w:val="333333"/>
          <w:sz w:val="19"/>
          <w:szCs w:val="19"/>
        </w:rPr>
        <w:t xml:space="preserve">              └───────┬───────┘           │</w:t>
      </w:r>
    </w:p>
    <w:p>
      <w:pPr>
        <w:shd w:fill="F5F5F5" w:val="clear"/>
        <w:spacing w:after="80"/>
        <w:ind w:left="360" w:right="360"/>
      </w:pPr>
      <w:r>
        <w:rPr>
          <w:rFonts w:ascii="Courier New" w:cs="Courier New" w:eastAsia="Courier New" w:hAnsi="Courier New"/>
          <w:color w:val="333333"/>
          <w:sz w:val="19"/>
          <w:szCs w:val="19"/>
        </w:rPr>
        <w:t xml:space="preserve">                      │                    │</w:t>
      </w:r>
    </w:p>
    <w:p>
      <w:pPr>
        <w:shd w:fill="F5F5F5" w:val="clear"/>
        <w:spacing w:after="80"/>
        <w:ind w:left="360" w:right="360"/>
      </w:pPr>
      <w:r>
        <w:rPr>
          <w:rFonts w:ascii="Courier New" w:cs="Courier New" w:eastAsia="Courier New" w:hAnsi="Courier New"/>
          <w:color w:val="333333"/>
          <w:sz w:val="19"/>
          <w:szCs w:val="19"/>
        </w:rPr>
        <w:t xml:space="preserve">                      └────────┬───────────┘</w:t>
      </w:r>
    </w:p>
    <w:p>
      <w:pPr>
        <w:shd w:fill="F5F5F5" w:val="clear"/>
        <w:spacing w:after="80"/>
        <w:ind w:left="360" w:right="360"/>
      </w:pPr>
      <w:r>
        <w:rPr>
          <w:rFonts w:ascii="Courier New" w:cs="Courier New" w:eastAsia="Courier New" w:hAnsi="Courier New"/>
          <w:color w:val="333333"/>
          <w:sz w:val="19"/>
          <w:szCs w:val="19"/>
        </w:rPr>
        <w:t xml:space="preserve">                             │</w:t>
      </w:r>
    </w:p>
    <w:p>
      <w:pPr>
        <w:shd w:fill="F5F5F5" w:val="clear"/>
        <w:spacing w:after="80"/>
        <w:ind w:left="360" w:right="360"/>
      </w:pPr>
      <w:r>
        <w:rPr>
          <w:rFonts w:ascii="Courier New" w:cs="Courier New" w:eastAsia="Courier New" w:hAnsi="Courier New"/>
          <w:color w:val="333333"/>
          <w:sz w:val="19"/>
          <w:szCs w:val="19"/>
        </w:rPr>
        <w:t xml:space="preserve">                      ┌──────┴──────────┐</w:t>
      </w:r>
    </w:p>
    <w:p>
      <w:pPr>
        <w:shd w:fill="F5F5F5" w:val="clear"/>
        <w:spacing w:after="80"/>
        <w:ind w:left="360" w:right="360"/>
      </w:pPr>
      <w:r>
        <w:rPr>
          <w:rFonts w:ascii="Courier New" w:cs="Courier New" w:eastAsia="Courier New" w:hAnsi="Courier New"/>
          <w:color w:val="333333"/>
          <w:sz w:val="19"/>
          <w:szCs w:val="19"/>
        </w:rPr>
        <w:t xml:space="preserve">                      │  Calibration Loop  │  ←─ Learning Layer (Week 8-20+)</w:t>
      </w:r>
    </w:p>
    <w:p>
      <w:pPr>
        <w:shd w:fill="F5F5F5" w:val="clear"/>
        <w:spacing w:after="80"/>
        <w:ind w:left="360" w:right="360"/>
      </w:pPr>
      <w:r>
        <w:rPr>
          <w:rFonts w:ascii="Courier New" w:cs="Courier New" w:eastAsia="Courier New" w:hAnsi="Courier New"/>
          <w:color w:val="333333"/>
          <w:sz w:val="19"/>
          <w:szCs w:val="19"/>
        </w:rPr>
        <w:t xml:space="preserve">                      │  KB-26 → KB-25     │</w:t>
      </w:r>
    </w:p>
    <w:p>
      <w:pPr>
        <w:shd w:fill="F5F5F5" w:val="clear"/>
        <w:spacing w:after="80"/>
        <w:ind w:left="360" w:right="360"/>
      </w:pPr>
      <w:r>
        <w:rPr>
          <w:rFonts w:ascii="Courier New" w:cs="Courier New" w:eastAsia="Courier New" w:hAnsi="Courier New"/>
          <w:color w:val="333333"/>
          <w:sz w:val="19"/>
          <w:szCs w:val="19"/>
        </w:rPr>
        <w:t xml:space="preserve">                      └───────────────────┘</w:t>
      </w:r>
    </w:p>
    <w:p>
      <w:r>
        <w:br w:type="page"/>
      </w:r>
    </w:p>
    <w:p>
      <w:pPr>
        <w:pStyle w:val="Heading1"/>
        <w:spacing w:before="360" w:after="200"/>
      </w:pPr>
      <w:r>
        <w:rPr>
          <w:rFonts w:ascii="Arial" w:cs="Arial" w:eastAsia="Arial" w:hAnsi="Arial"/>
          <w:b/>
          <w:bCs/>
          <w:color w:val="1B3A5C"/>
          <w:sz w:val="32"/>
          <w:szCs w:val="32"/>
        </w:rPr>
        <w:t xml:space="preserve">4. Component Specifications Summary</w:t>
      </w:r>
    </w:p>
    <w:p>
      <w:pPr>
        <w:spacing w:after="120" w:line="276"/>
      </w:pPr>
      <w:r>
        <w:rPr>
          <w:rFonts w:ascii="Arial" w:cs="Arial" w:eastAsia="Arial" w:hAnsi="Arial"/>
          <w:color w:val="333333"/>
          <w:sz w:val="22"/>
          <w:szCs w:val="22"/>
        </w:rPr>
        <w:t xml:space="preserve">Reference summary of what each specification document delivers. Full details in the respective specification documents.</w:t>
      </w:r>
    </w:p>
    <w:p>
      <w:pPr>
        <w:spacing w:after="60"/>
      </w:pPr>
    </w:p>
    <w:p>
      <w:pPr>
        <w:pStyle w:val="Heading2"/>
        <w:spacing w:before="280" w:after="160"/>
      </w:pPr>
      <w:r>
        <w:rPr>
          <w:rFonts w:ascii="Arial" w:cs="Arial" w:eastAsia="Arial" w:hAnsi="Arial"/>
          <w:b/>
          <w:bCs/>
          <w:color w:val="2E7D32"/>
          <w:sz w:val="28"/>
          <w:szCs w:val="28"/>
        </w:rPr>
        <w:t xml:space="preserve">4.1 KB-25 Lifestyle Knowledge Graph — 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Specification Area</w:t>
            </w:r>
          </w:p>
        </w:tc>
        <w:tc>
          <w:tcPr>
            <w:tcW w:type="dxa" w:w="7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Ontology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 node types: :Food (528), :Exercise (124), :Nutrient (67), :PhysProcess (83), :ClinVar (22), :DrugClass (18), :PatientCtx (45). Total: 887 nodes.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Edges</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12 edge types, ~5,230 total edges. Every causal edge carries a quantitative EffectDescriptor with effect size, confidence interval, dose-response curve, temporal dynamics (onset/peak/steady-state days), evidence grade (A/B/C/D), and source PMIDs.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Patient-State Conditioning</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8 modifier dimensions (BMI, CKD stage, age, activity level, current medication, glycemic severity, pregnancy, frailty) that attenuate or amplify effects per patient.</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Safety Layer</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14 hard-stop rules (LS-01 through LS-14, extended to LS-15 per M3 analysis) + 8 lifestyle-drug interaction types.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Comparator Engine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 /compare-interventions: lifestyle vs pharmacological comparison with projected effects, time to effect, evidence grades, adherence-weighted outcomes, and decision rules by HbA1c severity band.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India-Specific</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IFCT-2017 food data, regional food clusters (South/North/West/East/Northeast), protein source hierarchy by diet type with INR costs, GI reference for common Indian foods. Cultural constraints: vegetarian, vegan, Jain, eggitarian, Halal.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API Endpoints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 REST endpoints on port 8136. Primary: /compare-interventions, /recommend-lifestyle, /check-safety, /attribute-outcome, /project-combined.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Graph Database</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Neo4j 5.x, separate lkg database from KB-7 terminology.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 v1.1 Enhancements</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7 additions from M3 protocol analysis: E-01 Leucine threshold, E-02 Triglyceride chain, E-03 Waist :ClinVar node, E-04 Meal composition templates, E-05 LS-15 underweight rule, E-06 Resistance band exercise node, E-07 Micro-workout nodes.</w:t>
            </w:r>
          </w:p>
        </w:tc>
      </w:tr>
    </w:tbl>
    <w:p>
      <w:pPr>
        <w:spacing w:after="60"/>
      </w:pPr>
    </w:p>
    <w:p>
      <w:pPr>
        <w:pStyle w:val="Heading2"/>
        <w:spacing w:before="280" w:after="160"/>
      </w:pPr>
      <w:r>
        <w:rPr>
          <w:rFonts w:ascii="Arial" w:cs="Arial" w:eastAsia="Arial" w:hAnsi="Arial"/>
          <w:b/>
          <w:bCs/>
          <w:color w:val="2E7D32"/>
          <w:sz w:val="28"/>
          <w:szCs w:val="28"/>
        </w:rPr>
        <w:t xml:space="preserve">4.2 M3 Protocol Templates — 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Specification Area</w:t>
            </w:r>
          </w:p>
        </w:tc>
        <w:tc>
          <w:tcPr>
            <w:tcW w:type="dxa" w:w="7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Architectural Position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Protocol templates registered in KB-20’s protocol registry. NOT standalone services. Execute within KB-20’s correction loop and query KB-25 for all lifestyle-specific knowledge.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M3-PRP (Protein Restoration)</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4-phase state machine: Phase 0 (Baseline), Phase 1 (Stabilization: 0.8 g/kg target, Days 1-14), Phase 2 (Restoration: 1.0-1.2 g/kg + resistance, Days 15-42), Phase 3 (Optimization: carb quality + exercise progression, Days 43-84). Entry: protein_gap &gt;= 20g/day OR intake &lt; 0.8 g/kg. Exclusions: eGFR &lt; 30, eating disorder. Success: intake &gt;= 0.9 g/kg sustained 4+ weeks + KB-25 attribution &gt;= 15%.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M3-VFRP (Visceral Fat Reduction)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4-phase state machine: Phase 0 (Assessment), Phase 1 (Metabolic Stabilization: carb quality, Days 1-14), Phase 2 (Fat Mobilization: 7000 steps + plate model, Days 15-42), Phase 3 (Sustained Reduction: 8000+ steps + sodium, Days 43-84). Entry: waist &gt;= 90cm(M)/80cm(F) OR waist rising &gt; 2cm/8wk OR TG &gt; 200 + FBG rising. Success: waist reduction &gt;= 3cm OR TG reduction &gt;= 15%.</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Concurrent Execution</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PRP and VFRP designed to run simultaneously. Shared exercise prescription (no duplication). PRP owns protein targets, VFRP owns carb quality. Step targets use MAX rule. Interleaved messaging (never double-message). Unified Decision Cards. Synergy multiplier: 1.15x for combined FBG projection.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Escalation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Day 63 trajectory check: RED = trigger V-MCU medication review via KB-25 Comparator Engine.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KB-20 Registration Schema</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Full JSON protocol registration with entry/exclusion criteria, phase definitions with durations and extension limits, KB-25 query patterns per lifecycle event, success criteria, and escalation triggers.</w:t>
            </w:r>
          </w:p>
        </w:tc>
      </w:tr>
    </w:tbl>
    <w:p>
      <w:pPr>
        <w:spacing w:after="60"/>
      </w:pPr>
    </w:p>
    <w:p>
      <w:pPr>
        <w:pStyle w:val="Heading2"/>
        <w:spacing w:before="280" w:after="160"/>
      </w:pPr>
      <w:r>
        <w:rPr>
          <w:rFonts w:ascii="Arial" w:cs="Arial" w:eastAsia="Arial" w:hAnsi="Arial"/>
          <w:b/>
          <w:bCs/>
          <w:color w:val="2E7D32"/>
          <w:sz w:val="28"/>
          <w:szCs w:val="28"/>
        </w:rPr>
        <w:t xml:space="preserve">4.3 KB-26 Metabolic Digital Twin — Key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Specification Area</w:t>
            </w:r>
          </w:p>
        </w:tc>
        <w:tc>
          <w:tcPr>
            <w:tcW w:type="dxa" w:w="7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Architectural Position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New shared service (port 8137). Separate from KB-24 (which remains V-MCU-internal). Different state lifetime (persistent vs transient), update frequency (event-driven vs per-titration), and consumers (platform-wide vs V-MCU-only).</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Twin State Tiers</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Tier 1 (Directly Measured, HIGH confidence): FBG, PPBG, HbA1c, SBP, DBP, eGFR, waist, weight, steps, resting HR. Tier 2 (Reliably Derived, MODERATE-HIGH): visceral fat proxy, renal trajectory (eGFR slope), MAP, glycemic variability, dawn phenomenon, TG/HDL ratio, protein adequacy, diet quality score. Tier 3 (Estimated, LOW-MODERATE with confidence scores): insulin sensitivity proxy, hepatic glucose output classification, muscle mass proxy, beta cell function classification, sympathetic tone classification.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Clinical Honesty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Every Tier 3 variable carries Confidence (0.0-1.0), Method (derivation used), and MinDataRequired (what measurement would improve confidence). System never presents estimated variables with same weight as measured variables.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Coupled Forward Simulation</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6 coupled state variables (IS, VF, HGO, MM, VR, RR) with coupling equations modeling feedback loops. Produces multi-week projections more realistic than independent chain summation.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Bayesian Calibration</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6-step pipeline: observation window → attribution query (KB-25) → prior (KB-25 population effect) → likelihood (observed patient effect) → posterior update → calibrated effect stored. Confidence increases with each observation. After 12-16 weeks, projections substantially more accurate than population-level.</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API Endpoints</w:t>
            </w:r>
          </w:p>
        </w:tc>
        <w:tc>
          <w:tcPr>
            <w:tcW w:type="dxa" w:w="7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7 REST endpoints on port 8137. Primary: GET /twin/{id}, POST /simulate, POST /simulate-comparison, POST /calibrate, GET /twin/{id}/confidence.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Database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PostgreSQL (time-series twin state with full history) + Redis (current state cache).</w:t>
            </w:r>
          </w:p>
        </w:tc>
      </w:tr>
    </w:tbl>
    <w:p>
      <w:r>
        <w:br w:type="page"/>
      </w:r>
    </w:p>
    <w:p>
      <w:pPr>
        <w:pStyle w:val="Heading1"/>
        <w:spacing w:before="360" w:after="200"/>
      </w:pPr>
      <w:r>
        <w:rPr>
          <w:rFonts w:ascii="Arial" w:cs="Arial" w:eastAsia="Arial" w:hAnsi="Arial"/>
          <w:b/>
          <w:bCs/>
          <w:color w:val="1B3A5C"/>
          <w:sz w:val="32"/>
          <w:szCs w:val="32"/>
        </w:rPr>
        <w:t xml:space="preserve">5. Implementation Plan: 20-Week Program</w:t>
      </w:r>
    </w:p>
    <w:p>
      <w:pPr>
        <w:spacing w:after="120" w:line="276"/>
      </w:pPr>
      <w:r>
        <w:rPr>
          <w:rFonts w:ascii="Arial" w:cs="Arial" w:eastAsia="Arial" w:hAnsi="Arial"/>
          <w:color w:val="333333"/>
          <w:sz w:val="22"/>
          <w:szCs w:val="22"/>
        </w:rPr>
        <w:t xml:space="preserve">The implementation is organized into </w:t>
      </w:r>
      <w:r>
        <w:rPr>
          <w:rFonts w:ascii="Arial" w:cs="Arial" w:eastAsia="Arial" w:hAnsi="Arial"/>
          <w:b/>
          <w:bCs/>
          <w:color w:val="333333"/>
          <w:sz w:val="22"/>
          <w:szCs w:val="22"/>
        </w:rPr>
        <w:t xml:space="preserve">three parallel streams</w:t>
      </w:r>
      <w:r>
        <w:rPr>
          <w:rFonts w:ascii="Arial" w:cs="Arial" w:eastAsia="Arial" w:hAnsi="Arial"/>
          <w:color w:val="333333"/>
          <w:sz w:val="22"/>
          <w:szCs w:val="22"/>
        </w:rPr>
        <w:t xml:space="preserve"> that converge at integration milestones. This parallelism reduces the total timeline from ~30 weeks (sequential) to ~20 weeks. The critical path runs through KB-25 Phase 2 (causal chain clinical curation), which is the highest-effort activity and cannot be parallelized beyond the clinical team’s capacity.</w:t>
      </w:r>
    </w:p>
    <w:p>
      <w:pPr>
        <w:spacing w:after="60"/>
      </w:pPr>
    </w:p>
    <w:p>
      <w:pPr>
        <w:pStyle w:val="Heading2"/>
        <w:spacing w:before="280" w:after="160"/>
      </w:pPr>
      <w:r>
        <w:rPr>
          <w:rFonts w:ascii="Arial" w:cs="Arial" w:eastAsia="Arial" w:hAnsi="Arial"/>
          <w:b/>
          <w:bCs/>
          <w:color w:val="2E7D32"/>
          <w:sz w:val="28"/>
          <w:szCs w:val="28"/>
        </w:rPr>
        <w:t xml:space="preserve">5.1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Stream</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Team</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Composition</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Primary Deliverable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Stream A: Knowledge Layer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 Engineering + Clinical Data Team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 Go backend engineer, 1 Neo4j data engineer, 2 clinical data curators (physician + nutritionist), 1 clinical reviewer (physician)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 service with fully curated causal graph</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Stream B: Protocol Layer</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KB-20 Protocol Engineering</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1 Go backend engineer (KB-20 expertise), 1 clinical protocol designer, 0.5 QA engineer</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M3-PRP and M3-VFRP protocol templates integrated into KB-20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Stream C: Twin Layer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Engineering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 Go backend engineer, 1 data scientist (Bayesian methods), 0.5 clinical reviewer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service with twin state, simulation, and calibration</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Integration</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Cross-stream</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0.5 from each stream + 1 QA engineer + clinical validation team</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End-to-end integration, Decision Card rendering, synthetic patient testing</w:t>
            </w:r>
          </w:p>
        </w:tc>
      </w:tr>
    </w:tbl>
    <w:p>
      <w:pPr>
        <w:spacing w:after="60"/>
      </w:pPr>
    </w:p>
    <w:p>
      <w:pPr>
        <w:pBdr>
          <w:left w:val="single" w:color="1B3A5C" w:sz="12" w:space="8"/>
        </w:pBdr>
        <w:shd w:fill="FFF8E1" w:val="clear"/>
        <w:spacing w:after="160"/>
        <w:ind w:left="360" w:right="360"/>
      </w:pPr>
      <w:r>
        <w:rPr>
          <w:rFonts w:ascii="Arial" w:cs="Arial" w:eastAsia="Arial" w:hAnsi="Arial"/>
          <w:i/>
          <w:iCs/>
          <w:color w:val="333333"/>
          <w:sz w:val="21"/>
          <w:szCs w:val="21"/>
        </w:rPr>
        <w:t xml:space="preserve">Total team: 4 Go engineers, 1 Neo4j data engineer, 1 data scientist, 2 clinical data curators, 1.5 clinical reviewers (physician time), 1.5 QA engineers. Approximately 12 FTEs for 20 weeks. The clinical team (3.5 FTEs) is the constraining resource — they are needed across all three streams.</w:t>
      </w:r>
    </w:p>
    <w:p>
      <w:r>
        <w:br w:type="page"/>
      </w:r>
    </w:p>
    <w:p>
      <w:pPr>
        <w:pStyle w:val="Heading2"/>
        <w:spacing w:before="280" w:after="160"/>
      </w:pPr>
      <w:r>
        <w:rPr>
          <w:rFonts w:ascii="Arial" w:cs="Arial" w:eastAsia="Arial" w:hAnsi="Arial"/>
          <w:b/>
          <w:bCs/>
          <w:color w:val="2E7D32"/>
          <w:sz w:val="28"/>
          <w:szCs w:val="28"/>
        </w:rPr>
        <w:t xml:space="preserve">5.2 Week-by-Week Implementation Schedule</w:t>
      </w:r>
    </w:p>
    <w:p>
      <w:pPr>
        <w:spacing w:after="60"/>
      </w:pPr>
    </w:p>
    <w:p>
      <w:pPr>
        <w:spacing w:before="200" w:after="120"/>
      </w:pPr>
      <w:r>
        <w:rPr>
          <w:rFonts w:ascii="Arial" w:cs="Arial" w:eastAsia="Arial" w:hAnsi="Arial"/>
          <w:b/>
          <w:bCs/>
          <w:color w:val="00695C"/>
          <w:sz w:val="24"/>
          <w:szCs w:val="24"/>
        </w:rPr>
        <w:t xml:space="preserve">Phase I: Foundations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200"/>
        <w:gridCol w:w="23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Stream A: KB-25</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Stream B: M3 Protocols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Stream C: KB-26</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Neo4j schema deployed. Node creation DDL (Cypher constraints, indexes). Go service scaffold on port 8136. IFCT-2017 food data loading begins (528 foods, 151 nutrient parameters per food).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Protocol template schema design for KB-20 registry. Phase state machine framework in KB-20. PRP/VFRP entry criteria + exclusion criteria coded.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PostgreSQL schema for MetabolicTwinState. Event-driven update pipeline scaffold. KB-20 event subscription configured.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Infrastructure ready</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IFCT-2017 food loading complete. Exercise nodes loaded (124 exercises from ACSM/WHO). Nutrient nodes with ICMR-NIN 2024 RDAs loaded. CONTAINS_NUTRIENT edges created (~3,800). REGION_AVAILABLE edges created.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PRP Phase 0-1 state machine coded. VFRP Phase 0-1 state machine coded. Entry criteria evaluation logic integrated with KB-20 trigger system.</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Tier 1 field population from KB-20 observations. Real-time twin update on new KB-20 data point. GET /twin/{id} endpoint operational (Tier 1 only).</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Data loaded, basic APIs live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Clinical curation of causal edges begins (HIGHEST EFFORT). Team of 2 curators + 1 reviewer. Target: 15-20 edges per day. Grade A and B evidence extraction from PubMed. Start with highest-impact chains: protein → MPS → IS → FBG, walking → PPBG, carb substitution → PPBG.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PRP Phase 2-3 state machine coded. VFRP Phase 2-3 state machine coded. Phase transition rules implemented. Concurrent execution logic (shared exercise, MAX step rule, interleaved messaging).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Tier 2 derivation formulas implemented: visceral fat proxy, MAP, glycemic variability, TG/HDL ratio, dawn phenomenon detection. Renal trajectory (eGFR slope) computation.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Causal chain curation critical path begins</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Continue causal edge curation. Safety rules LS-01 through LS-10 implemented as contraindication edges. Lifestyle-drug interaction matrix loaded (8 interaction types). POST /check-safety endpoint operational.</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KB-20 protocol registration JSON for M3-PRP and M3-VFRP finalized. KB-23 Decision Card templates for protocol activation, Day 28 review, Day 63 check, and Day 84 graduation designed. KB-21 messaging templates for PRP+VFRP phases.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Tier 3 estimation modules implemented with confidence scoring. EstimatedVariable struct with Confidence + Method + MinDataRequired. GET /twin/{id}/confidence endpoint operational.</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 MILESTONE 1: KB-25 safety layer operational. KB-26 full twin state (Tier 1+2+3) computable.</w:t>
            </w:r>
          </w:p>
        </w:tc>
      </w:tr>
    </w:tbl>
    <w:p>
      <w:pPr>
        <w:spacing w:after="60"/>
      </w:pPr>
    </w:p>
    <w:p>
      <w:pPr>
        <w:spacing w:before="200" w:after="120"/>
      </w:pPr>
      <w:r>
        <w:rPr>
          <w:rFonts w:ascii="Arial" w:cs="Arial" w:eastAsia="Arial" w:hAnsi="Arial"/>
          <w:b/>
          <w:bCs/>
          <w:color w:val="00695C"/>
          <w:sz w:val="24"/>
          <w:szCs w:val="24"/>
        </w:rPr>
        <w:t xml:space="preserve">Phase II: Core Capability (Weeks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200"/>
        <w:gridCol w:w="23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Stream A: KB-25</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Stream B: M3 Protocols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Stream C: KB-26</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5-6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Continue causal edge curation (targeting ~680 causal edges total). Effect modifier edges added (8 patient dimensions × ~44 causal edges = ~350 modifier edges). Food substitution edges created (~180). POST /recommend-lifestyle endpoint operational.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First integration test: M3-PRP queries KB-25 /check-safety and /recommend-lifestyle during Phase 0 activation. Fix contract mismatches. Test phase transition rules with synthetic patient data.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Forward simulation engine development begins. Coupled state variable model (6 variables). Coupling equations implemented with literature-derived coefficients. POST /simulate endpoint development.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Protocols can query KB-25 for real food recommendations</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7-8</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Comparator Engine development. POST /compare-interventions endpoint. Decision rules by HbA1c severity band. KB-25 v1.1 enhancements implemented: E-01 leucine, E-02 triglyceride chain, E-03 waist ClinVar, E-04 meal templates, E-05 LS-15, E-06 resistance band, E-07 micro-workouts.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Full integration test: complete M3-PRP Phase 0 → Phase 1 → Phase 2 cycle with KB-25 queries at every transition. KB-23 Decision Card rendering for protocol lifecycle. Concurrent PRP+VFRP execution test.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Simulation engine operational. POST /simulate and POST /simulate-comparison endpoints tested with synthetic twin states. Coupling coefficient validation against known clinical trajectories from literature.</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 MILESTONE 2: KB-25 Comparator Engine operational. M3 protocols execute end-to-end with KB-25. KB-26 simulation produces projections.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9-10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POST /attribute-outcome endpoint (attribution decomposition). Integration with KB-26 for calibrated effect consumption. Full regression test of all 10 API endpoints. Performance tuning: &lt;200ms for compare-interventions, &lt;50ms for safety checks.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Full 12-week cycle test with synthetic patients. Day 28 lab check, Day 63 trajectory check (test GREEN/YELLOW/RED paths), Day 84 graduation review. Escalation path to V-MCU tested. KB-21 messaging integration.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Bayesian calibration engine development. 6-step calibration pipeline. KB-25 /attribute-outcome consumption. CalibratedEffect storage per patient. POST /calibrate endpoint. Integration: KB-25 begins consuming calibrated effects when available.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 MILESTONE 3: Full attribution pipeline operational. KB-26 calibration pipeline integrated with KB-25.</w:t>
            </w:r>
          </w:p>
        </w:tc>
      </w:tr>
    </w:tbl>
    <w:p>
      <w:pPr>
        <w:spacing w:after="60"/>
      </w:pPr>
    </w:p>
    <w:p>
      <w:pPr>
        <w:spacing w:before="200" w:after="120"/>
      </w:pPr>
      <w:r>
        <w:rPr>
          <w:rFonts w:ascii="Arial" w:cs="Arial" w:eastAsia="Arial" w:hAnsi="Arial"/>
          <w:b/>
          <w:bCs/>
          <w:color w:val="00695C"/>
          <w:sz w:val="24"/>
          <w:szCs w:val="24"/>
        </w:rPr>
        <w:t xml:space="preserve">Phase III: Integration and Validation (Weeks 11-16)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200"/>
        <w:gridCol w:w="23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Stream A: KB-25</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Stream B: M3 Protocols</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Stream C: KB-26</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Milestone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11-12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End-to-end integration with KB-26 calibrated effects. KB-23 Decision Card data delivery for all card types (activation, Day 28, Day 63, Day 84). V-MCU pre-escalation lifestyle ceiling check integrated.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End-to-end integration with KB-26 twin enrichment. Phase transition decisions enriched with physiological context. Non-responder detection test: can system distinguish adherence failure from mechanism mismatch?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Consumer integration: KB-23 Decision Cards enriched with Tier 2/3 variables and coupled simulation outputs. KB-25 Comparator Engine uses calibrated effects. Tier-1 patient-facing explanations generated from twin state.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 MILESTONE 4: All three components integrated end-to-end. Decision Cards render full Lifestyle Intelligence Stack output.</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13-14</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Clinical validation: 20 synthetic patient scenarios covering all decision rules, all evidence grades, all safety rules. Physician panel review of Comparator Engine recommendations. Evidence curation quality audit.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Clinical validation: 20 synthetic patient trajectories through full 12-week PRP+VFRP cycle. Physician panel validates phase transitions, escalation triggers, Decision Card content. Edge cases: CKD patient, pregnant patient, underweight patient, frail elderly.</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Clinical validation: simulation output validation against known clinical trajectories. Calibration accuracy test with held-out data. Physician review of Tier 3 confidence scores — are they honest? Does the system appropriately distinguish HIGH from LOW confidence?</w:t>
            </w:r>
          </w:p>
        </w:tc>
        <w:tc>
          <w:tcPr>
            <w:tcW w:type="dxa" w:w="2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 MILESTONE 5: Clinical validation complete. All physician panel findings addressed.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15-16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Performance load testing. Caching optimization. Documentation. Operational runbook.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Protocol template documentation. Clinical authoring guide for future protocol additions. Edge case handbook.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Calibration burn-in plan documented. Monitoring dashboards for twin state quality. Operational runbook.</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 MILESTONE 6: Production-ready. All services deployable.</w:t>
            </w:r>
          </w:p>
        </w:tc>
      </w:tr>
    </w:tbl>
    <w:p>
      <w:pPr>
        <w:spacing w:after="60"/>
      </w:pPr>
    </w:p>
    <w:p>
      <w:pPr>
        <w:spacing w:before="200" w:after="120"/>
      </w:pPr>
      <w:r>
        <w:rPr>
          <w:rFonts w:ascii="Arial" w:cs="Arial" w:eastAsia="Arial" w:hAnsi="Arial"/>
          <w:b/>
          <w:bCs/>
          <w:color w:val="00695C"/>
          <w:sz w:val="24"/>
          <w:szCs w:val="24"/>
        </w:rPr>
        <w:t xml:space="preserve">Phase IV: Pilot and Calibration (Weeks 17-20)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200"/>
        <w:gridCol w:w="31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Week</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All Streams</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Key Activity</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Success Criteria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17-18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Pilot deployment with 20-50 patients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System operates in OBSERVE mode for KB-26 calibration: twin states computed and calibrations run, but calibrated effects NOT yet used for clinical decisions. KB-25 uses population-level effects only. M3 protocols activated for eligible patients with physician oversight.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All services stable under real patient load. Twin state updates reliably on every observation. No safety rule false negatives.</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19-20</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Calibration activation for early cohort</w:t>
            </w:r>
          </w:p>
        </w:tc>
        <w:tc>
          <w:tcPr>
            <w:tcW w:type="dxa" w:w="3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After 4 weeks of observation data, KB-26 calibration results reviewed by clinical team. If calibrated effects are within clinically acceptable range of population effects (no wild outliers): activate calibrated effects for KB-25 Comparator. If outliers detected: investigate, adjust calibration priors, extend observation period.</w:t>
            </w:r>
          </w:p>
        </w:tc>
        <w:tc>
          <w:tcPr>
            <w:tcW w:type="dxa" w:w="31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KB-26 calibrated effects within +/- 50% of population effects for 90%+ of patients. Physician agreement rate with KB-25 Comparator recommendations &gt; 85%. No safety events attributable to lifestyle recommendations.</w:t>
            </w:r>
          </w:p>
        </w:tc>
      </w:tr>
    </w:tbl>
    <w:p>
      <w:r>
        <w:br w:type="page"/>
      </w:r>
    </w:p>
    <w:p>
      <w:pPr>
        <w:pStyle w:val="Heading1"/>
        <w:spacing w:before="360" w:after="200"/>
      </w:pPr>
      <w:r>
        <w:rPr>
          <w:rFonts w:ascii="Arial" w:cs="Arial" w:eastAsia="Arial" w:hAnsi="Arial"/>
          <w:b/>
          <w:bCs/>
          <w:color w:val="1B3A5C"/>
          <w:sz w:val="32"/>
          <w:szCs w:val="32"/>
        </w:rPr>
        <w:t xml:space="preserve">6. Critical Path, Risks, and Mitigations</w:t>
      </w:r>
    </w:p>
    <w:p>
      <w:pPr>
        <w:spacing w:after="60"/>
      </w:pPr>
    </w:p>
    <w:p>
      <w:pPr>
        <w:pStyle w:val="Heading2"/>
        <w:spacing w:before="280" w:after="160"/>
      </w:pPr>
      <w:r>
        <w:rPr>
          <w:rFonts w:ascii="Arial" w:cs="Arial" w:eastAsia="Arial" w:hAnsi="Arial"/>
          <w:b/>
          <w:bCs/>
          <w:color w:val="2E7D32"/>
          <w:sz w:val="28"/>
          <w:szCs w:val="28"/>
        </w:rPr>
        <w:t xml:space="preserve">6.1 Critical Path</w:t>
      </w:r>
    </w:p>
    <w:p>
      <w:pPr>
        <w:spacing w:after="120" w:line="276"/>
      </w:pPr>
      <w:r>
        <w:rPr>
          <w:rFonts w:ascii="Arial" w:cs="Arial" w:eastAsia="Arial" w:hAnsi="Arial"/>
          <w:b/>
          <w:bCs/>
          <w:color w:val="333333"/>
          <w:sz w:val="22"/>
          <w:szCs w:val="22"/>
        </w:rPr>
        <w:t xml:space="preserve">The critical path runs through KB-25 Phase 2 causal chain curation (Weeks 3-8). </w:t>
      </w:r>
      <w:r>
        <w:rPr>
          <w:rFonts w:ascii="Arial" w:cs="Arial" w:eastAsia="Arial" w:hAnsi="Arial"/>
          <w:color w:val="333333"/>
          <w:sz w:val="22"/>
          <w:szCs w:val="22"/>
        </w:rPr>
        <w:t xml:space="preserve">Every causal edge requires: (1) systematic PubMed search, (2) evidence extraction from identified papers, (3) effect size calibration for Indian population, (4) evidence grade assignment, (5) safety review for contraindications. At 15-20 edges per day with 2 clinical curators, completing ~680 causal edges takes approximately 5-6 weeks. This cannot be parallelized beyond the clinical team’s capacity without compromising evidence quality.</w:t>
      </w:r>
    </w:p>
    <w:p>
      <w:pPr>
        <w:spacing w:after="60"/>
      </w:pPr>
    </w:p>
    <w:p>
      <w:pPr>
        <w:spacing w:after="120" w:line="276"/>
      </w:pPr>
      <w:r>
        <w:rPr>
          <w:rFonts w:ascii="Arial" w:cs="Arial" w:eastAsia="Arial" w:hAnsi="Arial"/>
          <w:color w:val="333333"/>
          <w:sz w:val="22"/>
          <w:szCs w:val="22"/>
        </w:rPr>
        <w:t xml:space="preserve">Everything else — KB-25 Go service development, M3 protocol state machines, KB-26 twin engine — can proceed in parallel and finishes before the causal chain curation completes. </w:t>
      </w:r>
      <w:r>
        <w:rPr>
          <w:rFonts w:ascii="Arial" w:cs="Arial" w:eastAsia="Arial" w:hAnsi="Arial"/>
          <w:b/>
          <w:bCs/>
          <w:color w:val="333333"/>
          <w:sz w:val="22"/>
          <w:szCs w:val="22"/>
        </w:rPr>
        <w:t xml:space="preserve">If the clinical curation team is understaffed or delayed, the entire program shifts right.</w:t>
      </w:r>
    </w:p>
    <w:p>
      <w:pPr>
        <w:spacing w:after="60"/>
      </w:pPr>
    </w:p>
    <w:p>
      <w:pPr>
        <w:pStyle w:val="Heading2"/>
        <w:spacing w:before="280" w:after="160"/>
      </w:pPr>
      <w:r>
        <w:rPr>
          <w:rFonts w:ascii="Arial" w:cs="Arial" w:eastAsia="Arial" w:hAnsi="Arial"/>
          <w:b/>
          <w:bCs/>
          <w:color w:val="2E7D32"/>
          <w:sz w:val="28"/>
          <w:szCs w:val="28"/>
        </w:rPr>
        <w:t xml:space="preserve">6.2 Risk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800"/>
        <w:gridCol w:w="800"/>
        <w:gridCol w:w="4760"/>
      </w:tblGrid>
      <w:tr>
        <w:trPr>
          <w:tblHeader/>
        </w:trP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Probability</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Clinical curation team unavailable or understaffed (physician time is scarce)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CRITICAL — blocks KB-25 causal chains, blocks M3 protocols, blocks KB-26 calibration</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Pre-commit physician time 3 months before implementation start. Consider hiring a dedicated clinical informaticist. Fallback: curate Grade A edges only (highest-evidence, ~150 edges) and mark Grade B/C/D as TODO.</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R-02</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KB-26 coupling coefficients produce unrealistic simulation outputs</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MODERATE</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HIGH — Decision Cards show misleading projections</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12-week calibration burn-in period (Weeks 17-20) where simulation runs but results are NOT used for clinical decisions. Physician panel validates outputs before activation. Coefficients adjusted based on observed patient trajectories.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R-03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IFCT-2017 data quality issues (missing nutrients, inconsistent units)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MODERATE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MODERATE — food recommendations may have incorrect nutrient values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Cross-validate against USDA FoodData Central for overlapping foods. Flag IFCT entries with missing critical fields (protein, carb, fiber, GI). Manual curation for top-50 most commonly consumed Indian foods.</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R-04</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Fasting insulin not available for most patients (Tier 3 IS estimation low confidence)</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HIGH</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LOW-MODERATE — IS estimation limited to trajectory-based proxy</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Accepted risk. Trajectory-based IS estimation (Method B) provides clinically useful signal after 4+ weeks. Consider adding fasting insulin to baseline lab panel (cost: INR 300-500 per patient). Present IS as estimated with honest confidence score.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R-05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M3 protocol concurrent execution creates conflicting exercise/diet prescriptions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MODERATE — confusing patient messages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Conflict resolution rules specified in M3 document Section 6: shared exercise (no duplication), MAX step rule, PRP owns protein, VFRP owns carb quality, interleaved messaging. Test with 20 synthetic concurrent scenarios.</w:t>
            </w:r>
          </w:p>
        </w:tc>
      </w:tr>
      <w:tr>
        <w:tc>
          <w:tcPr>
            <w:tcW w:type="dxa" w:w="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R-06</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 Comparator Engine inappropriately defers medication when lifestyle alone is insufficient</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LOW (safety rules prevent this)</w:t>
            </w:r>
          </w:p>
        </w:tc>
        <w:tc>
          <w:tcPr>
            <w:tcW w:type="dxa" w:w="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CRITICAL — patient harm from delayed medication</w:t>
            </w:r>
          </w:p>
        </w:tc>
        <w:tc>
          <w:tcPr>
            <w:tcW w:type="dxa" w:w="4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Decision Rule: HbA1c &gt; 9% = MEDICATION PRIMARY (Section 6.2 of KB-25). KB-25 never auto-selects lifestyle over medication for Grade C/D evidence. Physician gate on all recommendations. Day 63 RED trajectory forces V-MCU escalation.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R-07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Bayesian calibration overfits to noisy short-term observations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MODERATE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MODERATE — inaccurate patient-specific projections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Conservative priors: KB-25 population effect is the prior mean. Minimum 4 observation windows before calibration shifts &gt;15% from population mean. Confidence capped at 0.8 even with extensive data. Clinical reviewer sign-off on calibrations that deviate &gt;30% from population.</w:t>
            </w:r>
          </w:p>
        </w:tc>
      </w:tr>
    </w:tbl>
    <w:p>
      <w:r>
        <w:br w:type="page"/>
      </w:r>
    </w:p>
    <w:p>
      <w:pPr>
        <w:pStyle w:val="Heading1"/>
        <w:spacing w:before="360" w:after="200"/>
      </w:pPr>
      <w:r>
        <w:rPr>
          <w:rFonts w:ascii="Arial" w:cs="Arial" w:eastAsia="Arial" w:hAnsi="Arial"/>
          <w:b/>
          <w:bCs/>
          <w:color w:val="1B3A5C"/>
          <w:sz w:val="32"/>
          <w:szCs w:val="32"/>
        </w:rPr>
        <w:t xml:space="preserve">7. Success Metrics</w:t>
      </w:r>
    </w:p>
    <w:p>
      <w:pPr>
        <w:spacing w:after="60"/>
      </w:pPr>
    </w:p>
    <w:p>
      <w:pPr>
        <w:pStyle w:val="Heading2"/>
        <w:spacing w:before="280" w:after="160"/>
      </w:pPr>
      <w:r>
        <w:rPr>
          <w:rFonts w:ascii="Arial" w:cs="Arial" w:eastAsia="Arial" w:hAnsi="Arial"/>
          <w:b/>
          <w:bCs/>
          <w:color w:val="2E7D32"/>
          <w:sz w:val="28"/>
          <w:szCs w:val="28"/>
        </w:rPr>
        <w:t xml:space="preserve">7.1 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600"/>
        <w:gridCol w:w="25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Measurement Method</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Review Cadence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KB-25 /compare-interventions latency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&lt; 200ms p95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Application performance monitoring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Daily (automated)</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 /check-safety latency</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&lt; 50ms p95</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APM</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Daily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twin state update latency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&lt; 100ms from KB-20 event to twin updated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Event pipeline monitoring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Daily</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KB-26 /simulate latency</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&lt; 500ms for 90-day coupled simulation</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APM</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Daily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M3 protocol phase transition correctness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100% match with synthetic test cases (no false transitions)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Automated test suite (20 synthetic patients)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Weekly during development, monthly post-launch</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 causal edge evidence coverage</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100% of Grade A/B edges curated with PMIDs and effect sizes</w:t>
            </w:r>
          </w:p>
        </w:tc>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Curation audit</w:t>
            </w:r>
          </w:p>
        </w:tc>
        <w:tc>
          <w:tcPr>
            <w:tcW w:type="dxa" w:w="25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Weekly during curation phase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twin state Tier 2 derivation accuracy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Within 10% of manually computed values for 100 test cases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Validation test suite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Monthly</w:t>
            </w:r>
          </w:p>
        </w:tc>
      </w:tr>
    </w:tbl>
    <w:p>
      <w:pPr>
        <w:spacing w:after="60"/>
      </w:pPr>
    </w:p>
    <w:p>
      <w:pPr>
        <w:pStyle w:val="Heading2"/>
        <w:spacing w:before="280" w:after="160"/>
      </w:pPr>
      <w:r>
        <w:rPr>
          <w:rFonts w:ascii="Arial" w:cs="Arial" w:eastAsia="Arial" w:hAnsi="Arial"/>
          <w:b/>
          <w:bCs/>
          <w:color w:val="2E7D32"/>
          <w:sz w:val="28"/>
          <w:szCs w:val="28"/>
        </w:rPr>
        <w:t xml:space="preserve">7.2 Clinical Metrics (Post-Pilot)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800"/>
        <w:gridCol w:w="3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Why It Matters</w:t>
            </w:r>
          </w:p>
        </w:tc>
        <w:tc>
          <w:tcPr>
            <w:tcW w:type="dxa" w:w="3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Measurement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Physician agreement rate with KB-25 Comparator recommendations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&gt; 85%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If physicians disagree with lifestyle vs medication recommendations, the Comparator’s decision rules need recalibration.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Track Decision Card physician actions (Approve / Modify / Reject) for Comparator-generated cards.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M3 protocol 12-week completion rate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&gt; 60%</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If patients drop out before Day 84, protocols need adherence-strengthening modifications or earlier intervention adjustment.</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Track protocol state: GRADUATED / EXTENDED / ESCALATED / DROPPED across all enrolled patients.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KB-26 calibration accuracy (observed vs predicted at Day 84)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Predicted FBG within +/- 15 mg/dL of actual for &gt; 70% of patients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Validates that the coupled simulation + Bayesian calibration produces clinically useful predictions.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Compare KB-26 Day 84 simulation output (run at Day 28 with calibrated effects) vs actual Day 84 lab results.</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Lifestyle attribution significance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 attributes &gt;= 20% of HbA1c improvement to lifestyle interventions for &gt; 50% of patients completing PRP+VFRP</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Validates that lifestyle interventions are clinically meaningful, not just noise.</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KB-25 /attribute-outcome at Day 84 for all graduated patients.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Safety event rate from lifestyle recommendations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Zero safety events attributable to KB-25 lifestyle recommendations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Patient safety is the primary constraint.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20"/>
                <w:szCs w:val="20"/>
              </w:rPr>
              <w:t xml:space="preserve">Adverse event review board for any hypoglycemia, hyperkalemia, renal decline, or injury during exercise.</w:t>
            </w:r>
          </w:p>
        </w:tc>
      </w:tr>
      <w:tr>
        <w:tc>
          <w:tcPr>
            <w:tcW w:type="dxa" w:w="1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Medication escalation deferral rate</w:t>
            </w:r>
          </w:p>
        </w:tc>
        <w:tc>
          <w:tcPr>
            <w:tcW w:type="dxa" w:w="1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20-30% of patients who would have received medication escalation at Day 45 achieve target with lifestyle alone by Day 84</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This is the system’s core value proposition: safely deferring medication through effective lifestyle intervention.</w:t>
            </w:r>
          </w:p>
        </w:tc>
        <w:tc>
          <w:tcPr>
            <w:tcW w:type="dxa" w:w="37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color w:val="333333"/>
                <w:sz w:val="20"/>
                <w:szCs w:val="20"/>
              </w:rPr>
              <w:t xml:space="preserve">Track patients whose trajectory was YELLOW at Day 45 (would have escalated) but reached GREEN by Day 84 with lifestyle only.</w:t>
            </w:r>
          </w:p>
        </w:tc>
      </w:tr>
    </w:tbl>
    <w:p>
      <w:r>
        <w:br w:type="page"/>
      </w:r>
    </w:p>
    <w:p>
      <w:pPr>
        <w:pStyle w:val="Heading1"/>
        <w:spacing w:before="360" w:after="200"/>
      </w:pPr>
      <w:r>
        <w:rPr>
          <w:rFonts w:ascii="Arial" w:cs="Arial" w:eastAsia="Arial" w:hAnsi="Arial"/>
          <w:b/>
          <w:bCs/>
          <w:color w:val="1B3A5C"/>
          <w:sz w:val="32"/>
          <w:szCs w:val="32"/>
        </w:rPr>
        <w:t xml:space="preserve">8. Architectural Summary: The Complete Intelligence Stack</w:t>
      </w:r>
    </w:p>
    <w:p>
      <w:pPr>
        <w:spacing w:after="60"/>
      </w:pPr>
    </w:p>
    <w:p>
      <w:pPr>
        <w:spacing w:after="120" w:line="276"/>
      </w:pPr>
      <w:r>
        <w:rPr>
          <w:rFonts w:ascii="Arial" w:cs="Arial" w:eastAsia="Arial" w:hAnsi="Arial"/>
          <w:color w:val="333333"/>
          <w:sz w:val="22"/>
          <w:szCs w:val="22"/>
        </w:rPr>
        <w:t xml:space="preserve">The three specification documents together define a coherent intelligence stack that adds four capabilities to the metabolic correction loop:</w:t>
      </w:r>
    </w:p>
    <w:p>
      <w:pPr>
        <w:spacing w:after="60"/>
      </w:pPr>
    </w:p>
    <w:p>
      <w:pPr>
        <w:spacing w:after="120" w:line="276"/>
      </w:pPr>
      <w:r>
        <w:rPr>
          <w:rFonts w:ascii="Arial" w:cs="Arial" w:eastAsia="Arial" w:hAnsi="Arial"/>
          <w:b/>
          <w:bCs/>
          <w:color w:val="333333"/>
          <w:sz w:val="22"/>
          <w:szCs w:val="22"/>
        </w:rPr>
        <w:t xml:space="preserve">1. Knowledge (KB-25): </w:t>
      </w:r>
      <w:r>
        <w:rPr>
          <w:rFonts w:ascii="Arial" w:cs="Arial" w:eastAsia="Arial" w:hAnsi="Arial"/>
          <w:color w:val="333333"/>
          <w:sz w:val="22"/>
          <w:szCs w:val="22"/>
        </w:rPr>
        <w:t xml:space="preserve">The system knows, with quantitative precision and evidence grading, how 528 Indian foods and 124 exercises affect 83 physiological processes across 22 clinical variables. It knows which interventions are safe for which patients, which foods to recommend for which regions and dietary constraints, and how lifestyle compares with medication for each clinical severity band.</w:t>
      </w:r>
    </w:p>
    <w:p>
      <w:pPr>
        <w:spacing w:after="60"/>
      </w:pPr>
    </w:p>
    <w:p>
      <w:pPr>
        <w:spacing w:after="120" w:line="276"/>
      </w:pPr>
      <w:r>
        <w:rPr>
          <w:rFonts w:ascii="Arial" w:cs="Arial" w:eastAsia="Arial" w:hAnsi="Arial"/>
          <w:b/>
          <w:bCs/>
          <w:color w:val="333333"/>
          <w:sz w:val="22"/>
          <w:szCs w:val="22"/>
        </w:rPr>
        <w:t xml:space="preserve">2. Execution (M3-PRP + M3-VFRP): </w:t>
      </w:r>
      <w:r>
        <w:rPr>
          <w:rFonts w:ascii="Arial" w:cs="Arial" w:eastAsia="Arial" w:hAnsi="Arial"/>
          <w:color w:val="333333"/>
          <w:sz w:val="22"/>
          <w:szCs w:val="22"/>
        </w:rPr>
        <w:t xml:space="preserve">The system translates that knowledge into action through two 12-week protocol templates that orchestrate protein restoration and visceral fat reduction as clinical interventions — with the same phase management, safety gates, lab monitoring, physician review, and escalation logic that the medication protocols use.</w:t>
      </w:r>
    </w:p>
    <w:p>
      <w:pPr>
        <w:spacing w:after="60"/>
      </w:pPr>
    </w:p>
    <w:p>
      <w:pPr>
        <w:spacing w:after="120" w:line="276"/>
      </w:pPr>
      <w:r>
        <w:rPr>
          <w:rFonts w:ascii="Arial" w:cs="Arial" w:eastAsia="Arial" w:hAnsi="Arial"/>
          <w:b/>
          <w:bCs/>
          <w:color w:val="333333"/>
          <w:sz w:val="22"/>
          <w:szCs w:val="22"/>
        </w:rPr>
        <w:t xml:space="preserve">3. Understanding (KB-26 Twin State): </w:t>
      </w:r>
      <w:r>
        <w:rPr>
          <w:rFonts w:ascii="Arial" w:cs="Arial" w:eastAsia="Arial" w:hAnsi="Arial"/>
          <w:color w:val="333333"/>
          <w:sz w:val="22"/>
          <w:szCs w:val="22"/>
        </w:rPr>
        <w:t xml:space="preserve">The system maintains a derived physiological model for each patient that transforms raw lab values into metabolic understanding — tracking insulin sensitivity trends, visceral fat trajectories, renal reserve slopes, and glycemic variability patterns across the correction cycle.</w:t>
      </w:r>
    </w:p>
    <w:p>
      <w:pPr>
        <w:spacing w:after="60"/>
      </w:pPr>
    </w:p>
    <w:p>
      <w:pPr>
        <w:spacing w:after="120" w:line="276"/>
      </w:pPr>
      <w:r>
        <w:rPr>
          <w:rFonts w:ascii="Arial" w:cs="Arial" w:eastAsia="Arial" w:hAnsi="Arial"/>
          <w:b/>
          <w:bCs/>
          <w:color w:val="333333"/>
          <w:sz w:val="22"/>
          <w:szCs w:val="22"/>
        </w:rPr>
        <w:t xml:space="preserve">4. Learning (KB-26 Calibration): </w:t>
      </w:r>
      <w:r>
        <w:rPr>
          <w:rFonts w:ascii="Arial" w:cs="Arial" w:eastAsia="Arial" w:hAnsi="Arial"/>
          <w:color w:val="333333"/>
          <w:sz w:val="22"/>
          <w:szCs w:val="22"/>
        </w:rPr>
        <w:t xml:space="preserve">The system observes how each patient actually responds to each intervention, and adjusts its future projections accordingly. After 12 weeks, the system’s predictions for Patient A are based on Patient A’s metabolic response pattern, not the population average. This is the mechanism by which the system gets better with every patient it serves.</w:t>
      </w:r>
    </w:p>
    <w:p>
      <w:pPr>
        <w:spacing w:after="60"/>
      </w:pPr>
    </w:p>
    <w:p>
      <w:pPr>
        <w:spacing w:after="120" w:line="276"/>
      </w:pPr>
      <w:r>
        <w:rPr>
          <w:rFonts w:ascii="Arial" w:cs="Arial" w:eastAsia="Arial" w:hAnsi="Arial"/>
          <w:color w:val="333333"/>
          <w:sz w:val="22"/>
          <w:szCs w:val="22"/>
        </w:rPr>
        <w:t xml:space="preserve">These four capabilities compose into a platform that does not merely manage disease. It understands each patient’s metabolic trajectory, predicts where it is heading, compares intervention options using that patient’s calibrated response profile, executes the chosen intervention through a clinically rigorous protocol, monitors the response, attributes the outcome, and feeds the learning back into the next decision cycle.</w:t>
      </w:r>
    </w:p>
    <w:p>
      <w:pPr>
        <w:spacing w:after="60"/>
      </w:pPr>
    </w:p>
    <w:p>
      <w:pPr>
        <w:spacing w:after="120" w:line="276"/>
      </w:pPr>
      <w:r>
        <w:rPr>
          <w:rFonts w:ascii="Arial" w:cs="Arial" w:eastAsia="Arial" w:hAnsi="Arial"/>
          <w:color w:val="333333"/>
          <w:sz w:val="22"/>
          <w:szCs w:val="22"/>
        </w:rPr>
        <w:t xml:space="preserve">That is the transformation these three documents enable. The implementation plan delivers it in 20 weeks.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666666"/>
        <w:sz w:val="16"/>
        <w:szCs w:val="16"/>
      </w:rPr>
      <w:t xml:space="preserve">v3 Clinical Knowledge Platform</w:t>
    </w:r>
    <w:r>
      <w:rPr>
        <w:rFonts w:ascii="Arial" w:cs="Arial" w:eastAsia="Arial" w:hAnsi="Arial"/>
        <w:sz w:val="16"/>
        <w:szCs w:val="16"/>
      </w:rPr>
      <w:ptab w:alignment="right" w:relativeTo="margin" w:leader="none"/>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pPr>
    <w:r>
      <w:rPr>
        <w:rFonts w:ascii="Arial" w:cs="Arial" w:eastAsia="Arial" w:hAnsi="Arial"/>
        <w:color w:val="666666"/>
        <w:sz w:val="16"/>
        <w:szCs w:val="16"/>
      </w:rPr>
      <w:t xml:space="preserve">Lifestyle Intelligence Stack — Unified Flow &amp; Implementation Plan</w:t>
    </w:r>
    <w:r>
      <w:rPr>
        <w:rFonts w:ascii="Arial" w:cs="Arial" w:eastAsia="Arial" w:hAnsi="Arial"/>
        <w:sz w:val="16"/>
        <w:szCs w:val="16"/>
      </w:rPr>
      <w:ptab w:alignment="right" w:relativeTo="margin" w:leader="none"/>
    </w:r>
    <w:r>
      <w:rPr>
        <w:rFonts w:ascii="Arial" w:cs="Arial" w:eastAsia="Arial" w:hAnsi="Arial"/>
        <w:b/>
        <w:bCs/>
        <w:color w:val="C6282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2026-03-16T01:29:08.328Z</dcterms:created>
  <dcterms:modified xsi:type="dcterms:W3CDTF">2026-03-16T01:29:08.329Z</dcterms:modified>
</cp:coreProperties>
</file>

<file path=docProps/custom.xml><?xml version="1.0" encoding="utf-8"?>
<Properties xmlns="http://schemas.openxmlformats.org/officeDocument/2006/custom-properties" xmlns:vt="http://schemas.openxmlformats.org/officeDocument/2006/docPropsVTypes"/>
</file>