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color w:val="888888"/>
          <w:sz w:val="16"/>
          <w:szCs w:val="16"/>
        </w:rPr>
        <w:t xml:space="preserve">VAIDSHALA V4 — Flink Processing Architecture</w:t>
      </w:r>
    </w:p>
    <w:p>
      <w:pPr>
        <w:spacing w:after="80"/>
      </w:pPr>
      <w:r>
        <w:rPr>
          <w:rFonts w:ascii="Arial" w:cs="Arial" w:eastAsia="Arial" w:hAnsi="Arial"/>
          <w:b/>
          <w:bCs/>
          <w:color w:val="1B3A5C"/>
          <w:sz w:val="44"/>
          <w:szCs w:val="44"/>
        </w:rPr>
        <w:t xml:space="preserve">Module 13: Clinical State Synchroniser</w:t>
      </w:r>
    </w:p>
    <w:p>
      <w:pPr>
        <w:spacing w:after="80"/>
      </w:pPr>
      <w:r>
        <w:rPr>
          <w:rFonts w:ascii="Arial" w:cs="Arial" w:eastAsia="Arial" w:hAnsi="Arial"/>
          <w:color w:val="2E75B6"/>
          <w:sz w:val="36"/>
          <w:szCs w:val="36"/>
        </w:rPr>
        <w:t xml:space="preserve">Implementation Plan</w:t>
      </w:r>
    </w:p>
    <w:p>
      <w:pPr>
        <w:spacing w:after="200"/>
      </w:pPr>
      <w:r>
        <w:rPr>
          <w:rFonts w:ascii="Arial" w:cs="Arial" w:eastAsia="Arial" w:hAnsi="Arial"/>
          <w:i/>
          <w:iCs/>
          <w:color w:val="666666"/>
          <w:sz w:val="22"/>
          <w:szCs w:val="22"/>
        </w:rPr>
        <w:t xml:space="preserve">Streaming bridge between Flink processing layer and KB-20 Patient State Engine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0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(Clinical State Synchroniser)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Branch</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feature/module13-clinical-state-sync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 Pattern</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KeyedProcessFunction&lt;String, CanonicalEvent, ClinicalStateChangeEvent&gt;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Input Topics</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 topics via multi-source union (Modules 7–12b + enriched-patient-events-v1)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Topic</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clinical.state-change-events (new)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 Sink</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 PostgreSQL + Redis projections (async write)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TTL</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Timer</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Daily processing-time timer per patient (data absence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Framework</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AHA CKM Syndrome Staging (Ndumele et al., Circulation 2023)</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Tech Stack</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 2.1.0, Java 17, Jackson 2.17, async PostgreSQL + Redis client</w:t>
            </w:r>
          </w:p>
        </w:tc>
      </w:tr>
    </w:tbl>
    <w:p>
      <w:r>
        <w:br w:type="page"/>
      </w:r>
    </w:p>
    <w:p>
      <w:pPr>
        <w:pStyle w:val="Heading1"/>
        <w:spacing w:after="200" w:before="360"/>
      </w:pPr>
      <w:r>
        <w:rPr>
          <w:rFonts w:ascii="Arial" w:cs="Arial" w:eastAsia="Arial" w:hAnsi="Arial"/>
          <w:b/>
          <w:bCs/>
          <w:color w:val="1B3A5C"/>
          <w:sz w:val="32"/>
          <w:szCs w:val="32"/>
        </w:rPr>
        <w:t xml:space="preserve">1. Clinical Rationale: Why This Module Exists</w:t>
      </w:r>
    </w:p>
    <w:p>
      <w:pPr>
        <w:pStyle w:val="Heading2"/>
        <w:spacing w:after="160" w:before="280"/>
      </w:pPr>
      <w:r>
        <w:rPr>
          <w:rFonts w:ascii="Arial" w:cs="Arial" w:eastAsia="Arial" w:hAnsi="Arial"/>
          <w:b/>
          <w:bCs/>
          <w:color w:val="2E75B6"/>
          <w:sz w:val="28"/>
          <w:szCs w:val="28"/>
        </w:rPr>
        <w:t xml:space="preserve">1.1 The Architectural Gap</w:t>
      </w:r>
    </w:p>
    <w:p>
      <w:pPr>
        <w:spacing w:after="120" w:line="276"/>
      </w:pPr>
      <w:r>
        <w:rPr>
          <w:rFonts w:ascii="Arial" w:cs="Arial" w:eastAsia="Arial" w:hAnsi="Arial"/>
          <w:sz w:val="20"/>
          <w:szCs w:val="20"/>
        </w:rPr>
        <w:t xml:space="preserve">Modules 7–12 produce clinically meaningful streaming signals: BP variability metrics (Module 7), engagement scores (Module 9), meal response patterns (Module 10b), fitness patterns (Module 11b), intervention window signals (Module 12), and metric deltas (Module 12b). These signals sit in Kafka topics. KB-20 stores the longitudinal patient state in PostgreSQL with Redis projections. KB-23 reads KB-20 to generate Decision Cards. V-MCU reads KB-20 for protocol execution. KB-26 reads KB-20 for twin calibration.</w:t>
      </w:r>
    </w:p>
    <w:p>
      <w:pPr>
        <w:spacing w:after="120" w:line="276"/>
      </w:pPr>
      <w:r>
        <w:rPr>
          <w:rFonts w:ascii="Arial" w:cs="Arial" w:eastAsia="Arial" w:hAnsi="Arial"/>
          <w:sz w:val="20"/>
          <w:szCs w:val="20"/>
        </w:rPr>
        <w:t xml:space="preserve">Nothing materialises the streaming outputs back into KB-20 in real-time. This means a physician reviewing a Decision Card sees stale state — the KB-20 snapshot from the last V-MCU RunCycle, not the current streaming reality. Module 13 closes this gap.</w:t>
      </w:r>
    </w:p>
    <w:p>
      <w:pPr>
        <w:pStyle w:val="Heading2"/>
        <w:spacing w:after="160" w:before="280"/>
      </w:pPr>
      <w:r>
        <w:rPr>
          <w:rFonts w:ascii="Arial" w:cs="Arial" w:eastAsia="Arial" w:hAnsi="Arial"/>
          <w:b/>
          <w:bCs/>
          <w:color w:val="2E75B6"/>
          <w:sz w:val="28"/>
          <w:szCs w:val="28"/>
        </w:rPr>
        <w:t xml:space="preserve">1.2 The Clinical Framework: CKM Syndrome</w:t>
      </w:r>
    </w:p>
    <w:p>
      <w:pPr>
        <w:spacing w:after="120" w:line="276"/>
      </w:pPr>
      <w:r>
        <w:rPr>
          <w:rFonts w:ascii="Arial" w:cs="Arial" w:eastAsia="Arial" w:hAnsi="Arial"/>
          <w:sz w:val="20"/>
          <w:szCs w:val="20"/>
        </w:rPr>
        <w:t xml:space="preserve">The AHA 2023 Presidential Advisory (Ndumele et al., Circulation 148:1606–1635) defined Cardiovascular-Kidney-Metabolic (CKM) syndrome as a systemic disorder reflecting multidirectional relationships among metabolic risk factors, CKD, and CVD. The ADA 2025–2026 Standards of Care adopted this framing, and the AHA PREVENT risk calculator now incorporates eGFR and albuminuria alongside traditional cardiovascular variables.</w:t>
      </w:r>
    </w:p>
    <w:p>
      <w:pPr>
        <w:spacing w:after="120" w:line="276"/>
      </w:pPr>
      <w:r>
        <w:rPr>
          <w:rFonts w:ascii="Arial" w:cs="Arial" w:eastAsia="Arial" w:hAnsi="Arial"/>
          <w:sz w:val="20"/>
          <w:szCs w:val="20"/>
        </w:rPr>
        <w:t xml:space="preserve">Vaidshala already computes the individual CKM domain signals across Modules 7–12. Module 13 fuses them into a unified, real-time CKM risk velocity — answering the question: is this patient moving toward a more advanced CKM stage, stable, or improving? This is the cross-domain signal that no individual module can produce alone.</w:t>
      </w:r>
    </w:p>
    <w:p>
      <w:pPr>
        <w:pStyle w:val="Heading2"/>
        <w:spacing w:after="160" w:before="280"/>
      </w:pPr>
      <w:r>
        <w:rPr>
          <w:rFonts w:ascii="Arial" w:cs="Arial" w:eastAsia="Arial" w:hAnsi="Arial"/>
          <w:b/>
          <w:bCs/>
          <w:color w:val="2E75B6"/>
          <w:sz w:val="28"/>
          <w:szCs w:val="28"/>
        </w:rPr>
        <w:t xml:space="preserve">1.3 CKM Staging as Applied to Vaidshala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gridCol w:w="41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CKM Stage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 (AHA 2023)</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Vaidshala Signal Sources</w:t>
            </w:r>
          </w:p>
        </w:tc>
        <w:tc>
          <w:tcPr>
            <w:tcW w:type="dxa" w:w="4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 13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CKM risk factors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enrolled patients (all have T2DM/HTN)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 reference only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Stage 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Excess/dysfunctional adiposity</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Weight trajectory (Module 12b), BMI from KB-20</w:t>
            </w:r>
          </w:p>
        </w:tc>
        <w:tc>
          <w:tcPr>
            <w:tcW w:type="dxa" w:w="4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Track adiposity trajectory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Metabolic risk factors + CKD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FBG/HbA1c trajectory, eGFR slope, BP variability (Module 7), proteinuria</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CKM risk velocity per domain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Stage 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Subclinical CVD or early CKD</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eGFR 30–60, ARV HIGH, morning surge, trajectory DETERIORATING</w:t>
            </w:r>
          </w:p>
        </w:tc>
        <w:tc>
          <w:tcPr>
            <w:tcW w:type="dxa" w:w="41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Emit HIGH_RISK state change 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CVD or advanced CKD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eGFR &lt;30, prior CVD event, heart failure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Emit CRITICAL state change event</w:t>
            </w:r>
          </w:p>
        </w:tc>
      </w:tr>
    </w:tbl>
    <w:p>
      <w:pPr>
        <w:pBdr>
          <w:left w:val="single" w:color="2E75B6" w:sz="12" w:space="8"/>
        </w:pBdr>
        <w:spacing w:after="200" w:before="200"/>
        <w:ind w:left="400"/>
      </w:pPr>
      <w:r>
        <w:rPr>
          <w:rFonts w:ascii="Arial" w:cs="Arial" w:eastAsia="Arial" w:hAnsi="Arial"/>
          <w:i/>
          <w:iCs/>
          <w:color w:val="555555"/>
          <w:sz w:val="20"/>
          <w:szCs w:val="20"/>
        </w:rPr>
        <w:t xml:space="preserve">Module 13 does NOT diagnose CKM stage — that is the physician’s clinical judgment. It computes a continuous risk velocity (improving/stable/deteriorating across CKM domains) and detects clinically significant state transitions that warrant immediate physician attention.</w:t>
      </w:r>
    </w:p>
    <w:p>
      <w:r>
        <w:br w:type="page"/>
      </w:r>
    </w:p>
    <w:p>
      <w:pPr>
        <w:pStyle w:val="Heading1"/>
        <w:spacing w:after="200" w:before="360"/>
      </w:pPr>
      <w:r>
        <w:rPr>
          <w:rFonts w:ascii="Arial" w:cs="Arial" w:eastAsia="Arial" w:hAnsi="Arial"/>
          <w:b/>
          <w:bCs/>
          <w:color w:val="1B3A5C"/>
          <w:sz w:val="32"/>
          <w:szCs w:val="32"/>
        </w:rPr>
        <w:t xml:space="preserve">2. Architecture</w:t>
      </w:r>
    </w:p>
    <w:p>
      <w:pPr>
        <w:pStyle w:val="Heading2"/>
        <w:spacing w:after="160" w:before="280"/>
      </w:pPr>
      <w:r>
        <w:rPr>
          <w:rFonts w:ascii="Arial" w:cs="Arial" w:eastAsia="Arial" w:hAnsi="Arial"/>
          <w:b/>
          <w:bCs/>
          <w:color w:val="2E75B6"/>
          <w:sz w:val="28"/>
          <w:szCs w:val="28"/>
        </w:rPr>
        <w:t xml:space="preserve">2.1 Data Flow</w:t>
      </w:r>
    </w:p>
    <w:p>
      <w:pPr>
        <w:spacing w:after="120" w:line="276"/>
      </w:pPr>
      <w:r>
        <w:rPr>
          <w:rFonts w:ascii="Arial" w:cs="Arial" w:eastAsia="Arial" w:hAnsi="Arial"/>
          <w:sz w:val="20"/>
          <w:szCs w:val="20"/>
        </w:rPr>
        <w:t xml:space="preserve">Module 13 is a fan-in operator that collects outputs from all domain-specific Flink modules and performs three functions: (1) materialise streaming signals into KB-20 state store, (2) compute composite CKM risk velocity scores, and (3) emit state-change events for KB-23 card generation triggers.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00"/>
        <w:gridCol w:w="468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Topic</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Module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Target in KB-20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flink.bp-variability-metrics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variability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bp_variability_state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flink.engagement-signals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9</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 scores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engagement_state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flink.meal-patterns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10b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meal patterns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meal_response_profile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flink.fitness-patterns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11b</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Weekly fitness patterns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fitness_state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clinical.intervention-window-signals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lifecycle signals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active_interventions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flink.intervention-deltas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12b</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Metric deltas at close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intervention_outcomes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enriched-patient-events-v1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Labs, vitals, device readings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metric values (eGFR, HbA1c, lipids)</w:t>
            </w:r>
          </w:p>
        </w:tc>
      </w:tr>
    </w:tbl>
    <w:p>
      <w:pPr>
        <w:pStyle w:val="Heading2"/>
        <w:spacing w:after="160" w:before="280"/>
      </w:pPr>
      <w:r>
        <w:rPr>
          <w:rFonts w:ascii="Arial" w:cs="Arial" w:eastAsia="Arial" w:hAnsi="Arial"/>
          <w:b/>
          <w:bCs/>
          <w:color w:val="2E75B6"/>
          <w:sz w:val="28"/>
          <w:szCs w:val="28"/>
        </w:rPr>
        <w:t xml:space="preserve">2.2 Output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500"/>
        <w:gridCol w:w="368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KB-20 state update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write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 Redis projection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incoming event (coalesced 5s window)</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ClinicalStateChangeEvent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Kafka message</w:t>
            </w:r>
          </w:p>
        </w:tc>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clinical.state-change-events</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Clinically significant state transition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absence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message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clinical.state-change-events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timer: no data for 7+ days</w:t>
            </w:r>
          </w:p>
        </w:tc>
      </w:tr>
    </w:tbl>
    <w:p>
      <w:pPr>
        <w:pStyle w:val="Heading2"/>
        <w:spacing w:after="160" w:before="280"/>
      </w:pPr>
      <w:r>
        <w:rPr>
          <w:rFonts w:ascii="Arial" w:cs="Arial" w:eastAsia="Arial" w:hAnsi="Arial"/>
          <w:b/>
          <w:bCs/>
          <w:color w:val="2E75B6"/>
          <w:sz w:val="28"/>
          <w:szCs w:val="28"/>
        </w:rPr>
        <w:t xml:space="preserve">2.3 Static Analysers (keeping the main KPF thin)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00"/>
        <w:gridCol w:w="36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Analyser</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CKMRiskComputer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Computes composite CKM risk velocity across 3 domains (metabolic, renal, cardiovascular)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eGFR trajectory, FBG/HbA1c trajectory, BP variability ARV, lipid trend, weight trajectory, intervention deltas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CKMRiskVelocity (per-domain + composite score)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StateChangeDetector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Compares current state against last-materialised state, detects clinically significant transitions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CKMRiskVelocity + previous CKMRiskVelocity + engagement state + intervention attribution</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List&lt;ClinicalStateChangeEvent&gt; (empty if no transitions)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DataCompletenessMonitor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which upstream modules have emitted data in 7/14/30 day windows per patient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Last-seen timestamps per module per patient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DataCompletenessScore (0–1) + data gap flags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KB20StateProjector</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Maps streaming signals to KB-20 field updates, handles write coalescing and conflict resolution</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Any upstream module output event</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KB20StateUpdate (field-level diff for PostgreSQL + Redis)</w:t>
            </w:r>
          </w:p>
        </w:tc>
      </w:tr>
    </w:tbl>
    <w:p>
      <w:r>
        <w:br w:type="page"/>
      </w:r>
    </w:p>
    <w:p>
      <w:pPr>
        <w:pStyle w:val="Heading1"/>
        <w:spacing w:after="200" w:before="360"/>
      </w:pPr>
      <w:r>
        <w:rPr>
          <w:rFonts w:ascii="Arial" w:cs="Arial" w:eastAsia="Arial" w:hAnsi="Arial"/>
          <w:b/>
          <w:bCs/>
          <w:color w:val="1B3A5C"/>
          <w:sz w:val="32"/>
          <w:szCs w:val="32"/>
        </w:rPr>
        <w:t xml:space="preserve">3. File Structure</w:t>
      </w:r>
    </w:p>
    <w:p>
      <w:pPr>
        <w:pStyle w:val="Heading2"/>
        <w:spacing w:after="160" w:before="280"/>
      </w:pPr>
      <w:r>
        <w:rPr>
          <w:rFonts w:ascii="Arial" w:cs="Arial" w:eastAsia="Arial" w:hAnsi="Arial"/>
          <w:b/>
          <w:bCs/>
          <w:color w:val="2E75B6"/>
          <w:sz w:val="28"/>
          <w:szCs w:val="28"/>
        </w:rPr>
        <w:t xml:space="preserve">3.1 New Source Files (12)</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768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models/CKMRiskDomain.java</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METABOLIC, RENAL, CARDIOVASCULAR + velocity thresholds per domain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models/CKMRiskVelocity.java</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Per-domain risk velocity scores with composite + CKM stage estimate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models/ClinicalStateChangeType.java</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12 state change types (engagement drop, risk escalation, data absence, etc.)</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models/ClinicalStateChangeEvent.java</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 model (16 fields) emitted to clinical.state-change-events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models/ClinicalStateSummary.java</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Per-patient keyed state: latest values from each upstream module + computed risk scores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models/KB20StateUpdate.java</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Field-level diff model for KB-20 projection updates (PostgreSQL + Redis)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operators/Module13CKMRiskComputer.java</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analyser: 3-domain CKM risk velocity from signal fusion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operators/Module13StateChangeDetector.java</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Static analyser: clinically significant transition detection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operators/Module13DataCompletenessMonitor.java</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analyser: per-module data freshness tracking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operators/Module13KB20StateProjector.java</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Static analyser: streaming signal → KB-20 field mapping + write coalescing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operators/Module13_ClinicalStateSynchroniser.java</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KPF: multi-source event routing, timer management, state materialisation</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sinks/KB20AsyncSinkFunction.java</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Async PostgreSQL + Redis sink with circuit-breaking and retry</w:t>
            </w:r>
          </w:p>
        </w:tc>
      </w:tr>
    </w:tbl>
    <w:p>
      <w:pPr>
        <w:pStyle w:val="Heading2"/>
        <w:spacing w:after="160" w:before="280"/>
      </w:pPr>
      <w:r>
        <w:rPr>
          <w:rFonts w:ascii="Arial" w:cs="Arial" w:eastAsia="Arial" w:hAnsi="Arial"/>
          <w:b/>
          <w:bCs/>
          <w:color w:val="2E75B6"/>
          <w:sz w:val="28"/>
          <w:szCs w:val="28"/>
        </w:rPr>
        <w:t xml:space="preserve">3.2 New Test Files (8)</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6600"/>
        <w:gridCol w:w="1000"/>
      </w:tblGrid>
      <w:t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builders/Module13TestBuilder.java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(factory)</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operators/Module13CKMRiskComputerTest.java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operators/Module13StateChangeDetectorTest.java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operators/Module13DataCompletenessMonitorTest.java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operators/Module13KB20StateProjectorTest.java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operators/Module13StateSyncLifecycleTest.java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operators/Module13MultiModuleFusionIntegrationTest.java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operators/Module13DataAbsenceTimerTest.java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r>
    </w:tbl>
    <w:p>
      <w:pPr>
        <w:spacing w:after="120" w:line="276"/>
      </w:pPr>
      <w:r>
        <w:rPr>
          <w:rFonts w:ascii="Arial" w:cs="Arial" w:eastAsia="Arial" w:hAnsi="Arial"/>
          <w:sz w:val="20"/>
          <w:szCs w:val="20"/>
        </w:rPr>
        <w:t xml:space="preserve">Total: 12 source files, 8 test files, 2 modified files (KafkaTopics.java, FlinkJobOrchestrator.java), 37 unit tests.</w:t>
      </w:r>
    </w:p>
    <w:p>
      <w:r>
        <w:br w:type="page"/>
      </w:r>
    </w:p>
    <w:p>
      <w:pPr>
        <w:pStyle w:val="Heading1"/>
        <w:spacing w:after="200" w:before="360"/>
      </w:pPr>
      <w:r>
        <w:rPr>
          <w:rFonts w:ascii="Arial" w:cs="Arial" w:eastAsia="Arial" w:hAnsi="Arial"/>
          <w:b/>
          <w:bCs/>
          <w:color w:val="1B3A5C"/>
          <w:sz w:val="32"/>
          <w:szCs w:val="32"/>
        </w:rPr>
        <w:t xml:space="preserve">4. CKM Risk Velocity Model</w:t>
      </w:r>
    </w:p>
    <w:p>
      <w:pPr>
        <w:pStyle w:val="Heading2"/>
        <w:spacing w:after="160" w:before="280"/>
      </w:pPr>
      <w:r>
        <w:rPr>
          <w:rFonts w:ascii="Arial" w:cs="Arial" w:eastAsia="Arial" w:hAnsi="Arial"/>
          <w:b/>
          <w:bCs/>
          <w:color w:val="2E75B6"/>
          <w:sz w:val="28"/>
          <w:szCs w:val="28"/>
        </w:rPr>
        <w:t xml:space="preserve">4.1 Three-Domain Decomposition</w:t>
      </w:r>
    </w:p>
    <w:p>
      <w:pPr>
        <w:spacing w:after="120" w:line="276"/>
      </w:pPr>
      <w:r>
        <w:rPr>
          <w:rFonts w:ascii="Arial" w:cs="Arial" w:eastAsia="Arial" w:hAnsi="Arial"/>
          <w:sz w:val="20"/>
          <w:szCs w:val="20"/>
        </w:rPr>
        <w:t xml:space="preserve">The CKM risk velocity decomposes into three clinical domains, each computed from multiple upstream module outputs. The velocity measures the RATE OF CHANGE in risk, not the absolute risk level — a patient with stable Stage 2 CKM is lower-priority than a patient rapidly progressing from Stage 2 toward Stage 3.</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gridCol w:w="44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 Signals</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Velocity Computation</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FBG trajectory (TrajectoryTracker), HbA1c trend, meal response iAUC trend (Module 10b), weight trajectory, intervention deltas for glucose-targeting drugs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sum of per-metric slopes: 0.35*FBG_slope + 0.30*HbA1c_slope + 0.20*meal_iAUC_slope + 0.15*weight_slope. Normalised to [-1, +1].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Negative = metabolic improvement. Positive = metabolic deterioration. Near zero = stable.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RENAL</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eGFR trajectory (per-year slope from Module 12 TrajectoryTracker), proteinuria trend (UACR from labs), BP-on-kidney impact (Module 7 ARV × SBP interaction), SGLT2i/RASi adherence</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0.50*eGFR_slope_normalised + 0.25*UACR_trend + 0.15*BP_kidney_impact + 0.10*renoprotective_adherence. Normalised to [-1, +1].</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eGFR declining &gt;3 mL/min/year = rapid progression (KDIGO). SGLT2i adherence modulates renal protection. ARV HIGH amplifies kidney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CARDIOVASCULAR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 variability ARV (Module 7), morning surge (Module 7), lipid trajectory, engagement score (Module 9, proxy for lifestyle adherence), intervention effectiveness (Module 12b attribution)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0.30*ARV_trend + 0.25*lipid_trend + 0.20*morning_surge_trend + 0.15*engagement_velocity + 0.10*intervention_effectiveness. Normalised to [-1, +1].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decline predicts medication non-adherence which predicts CV events. ARV worsening with morning surge HIGH = elevated stroke risk (Kario).</w:t>
            </w:r>
          </w:p>
        </w:tc>
      </w:tr>
    </w:tbl>
    <w:p>
      <w:pPr>
        <w:pStyle w:val="Heading2"/>
        <w:spacing w:after="160" w:before="280"/>
      </w:pPr>
      <w:r>
        <w:rPr>
          <w:rFonts w:ascii="Arial" w:cs="Arial" w:eastAsia="Arial" w:hAnsi="Arial"/>
          <w:b/>
          <w:bCs/>
          <w:color w:val="2E75B6"/>
          <w:sz w:val="28"/>
          <w:szCs w:val="28"/>
        </w:rPr>
        <w:t xml:space="preserve">4.2 Composite CKM Risk Velocity</w:t>
      </w:r>
    </w:p>
    <w:p>
      <w:pPr>
        <w:spacing w:after="120" w:line="276"/>
      </w:pPr>
      <w:r>
        <w:rPr>
          <w:rFonts w:ascii="Arial" w:cs="Arial" w:eastAsia="Arial" w:hAnsi="Arial"/>
          <w:sz w:val="20"/>
          <w:szCs w:val="20"/>
        </w:rPr>
        <w:t xml:space="preserve">The composite score uses worst-domain-wins for safety (same pattern as Module 12 trajectory tracker): if ANY domain velocity exceeds the DETERIORATING threshold (+0.4), the composite is DETERIORATING. If all domains are below the IMPROVING threshold (-0.3), composite is IMPROVING. Otherwise STABLE.</w:t>
      </w:r>
    </w:p>
    <w:p>
      <w:pPr>
        <w:spacing w:after="120" w:line="276"/>
      </w:pPr>
      <w:r>
        <w:rPr>
          <w:rFonts w:ascii="Arial" w:cs="Arial" w:eastAsia="Arial" w:hAnsi="Arial"/>
          <w:sz w:val="20"/>
          <w:szCs w:val="20"/>
        </w:rPr>
        <w:t xml:space="preserve">Additionally, a cross-domain amplification factor applies: if 2+ domains are simultaneously worsening (each &gt;+0.2), the composite gets a 1.5x amplification. This captures the clinical reality that simultaneous metabolic and renal deterioration is more dangerous than either alone — the AHA CKM framework explicitly calls this out as a driver of accelerated progression.</w:t>
      </w:r>
    </w:p>
    <w:p>
      <w:pPr>
        <w:pStyle w:val="Heading2"/>
        <w:spacing w:after="160" w:before="280"/>
      </w:pPr>
      <w:r>
        <w:rPr>
          <w:rFonts w:ascii="Arial" w:cs="Arial" w:eastAsia="Arial" w:hAnsi="Arial"/>
          <w:b/>
          <w:bCs/>
          <w:color w:val="2E75B6"/>
          <w:sz w:val="28"/>
          <w:szCs w:val="28"/>
        </w:rPr>
        <w:t xml:space="preserve">4.3 South Asian Calibration</w:t>
      </w:r>
    </w:p>
    <w:p>
      <w:pPr>
        <w:spacing w:after="120" w:line="276"/>
      </w:pPr>
      <w:r>
        <w:rPr>
          <w:rFonts w:ascii="Arial" w:cs="Arial" w:eastAsia="Arial" w:hAnsi="Arial"/>
          <w:sz w:val="20"/>
          <w:szCs w:val="20"/>
        </w:rPr>
        <w:t xml:space="preserve">South Asian patients have lower beta-cell reserve (SIDD phenotype more prevalent per INSPIRED study), visceral adiposity at lower BMI, and earlier-onset insulin resistance compared to European populations. The CKM risk velocity thresholds are calibrated accordingly: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800"/>
        <w:gridCol w:w="5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General Population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South Asian Calibration</w:t>
            </w:r>
          </w:p>
        </w:tc>
        <w:tc>
          <w:tcPr>
            <w:tcW w:type="dxa" w:w="5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eGFR rapid decline threshold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mL/min/year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mL/min/year</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Earlier CKD progression in South Asians (CRIC study)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FBG deterioration threshold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 mg/dL/week</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mg/dL/week</w:t>
            </w:r>
          </w:p>
        </w:tc>
        <w:tc>
          <w:tcPr>
            <w:tcW w:type="dxa" w:w="5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Lower beta-cell reserve means smaller glucose rises are clinically significant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BMI obesity threshold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kg/m²</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kg/m² (WHO Asian cut-off)</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Metabolic risk at lower BMI in South Asians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Metabolic domain weight for HbA1c</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0.35</w:t>
            </w:r>
          </w:p>
        </w:tc>
        <w:tc>
          <w:tcPr>
            <w:tcW w:type="dxa" w:w="5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HbA1c trajectory more predictive in insulin-deficient phenotype</w:t>
            </w:r>
          </w:p>
        </w:tc>
      </w:tr>
    </w:tbl>
    <w:p>
      <w:pPr>
        <w:pBdr>
          <w:left w:val="single" w:color="2E75B6" w:sz="12" w:space="8"/>
        </w:pBdr>
        <w:spacing w:after="200" w:before="200"/>
        <w:ind w:left="400"/>
      </w:pPr>
      <w:r>
        <w:rPr>
          <w:rFonts w:ascii="Arial" w:cs="Arial" w:eastAsia="Arial" w:hAnsi="Arial"/>
          <w:i/>
          <w:iCs/>
          <w:color w:val="555555"/>
          <w:sz w:val="20"/>
          <w:szCs w:val="20"/>
        </w:rPr>
        <w:t xml:space="preserve">These calibrations are loaded from market-shim configuration (deploy/markets/india/ckm_thresholds.yaml). The Australian deployment uses standard thresholds for non-South-Asian patients and South Asian calibrations for identified South Asian patients (using KB-20’s ethnicity field).</w:t>
      </w:r>
    </w:p>
    <w:p>
      <w:r>
        <w:br w:type="page"/>
      </w:r>
    </w:p>
    <w:p>
      <w:pPr>
        <w:pStyle w:val="Heading1"/>
        <w:spacing w:after="200" w:before="360"/>
      </w:pPr>
      <w:r>
        <w:rPr>
          <w:rFonts w:ascii="Arial" w:cs="Arial" w:eastAsia="Arial" w:hAnsi="Arial"/>
          <w:b/>
          <w:bCs/>
          <w:color w:val="1B3A5C"/>
          <w:sz w:val="32"/>
          <w:szCs w:val="32"/>
        </w:rPr>
        <w:t xml:space="preserve">5. Clinically Significant State Change Events</w:t>
      </w:r>
    </w:p>
    <w:p>
      <w:pPr>
        <w:pStyle w:val="Heading2"/>
        <w:spacing w:after="160" w:before="280"/>
      </w:pPr>
      <w:r>
        <w:rPr>
          <w:rFonts w:ascii="Arial" w:cs="Arial" w:eastAsia="Arial" w:hAnsi="Arial"/>
          <w:b/>
          <w:bCs/>
          <w:color w:val="2E75B6"/>
          <w:sz w:val="28"/>
          <w:szCs w:val="28"/>
        </w:rPr>
        <w:t xml:space="preserve">5.1 State Change Type Registry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200"/>
        <w:gridCol w:w="468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 Change Type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KB-23 Action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CKM_RISK_ESCALATION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CKM velocity crosses from STABLE to DETERIORATING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urgent review card within 4 hours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CKM_DOMAIN_DIVERGENCE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domains simultaneously worsening (velocity &gt;+0.2 each)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multi-domain intervention card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RENAL_RAPID_DECLINE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eGFR slope &lt; -2.5 mL/min/year (South Asian) or -3.0 (general)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nephrology referral card + SGLT2i review</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ENGAGEMENT_COLLAPSE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 score drops from ACTIVE to DISENGAGED (2+ tier drop)</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 coaching nudge via BCE within 24 hours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INTERVENTION_FUTILITY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consecutive interventions with INSUFFICIENT attribution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phenotype review card (possible misclassification)</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TRAJECTORY_REVERSAL</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Trajectory was IMPROVING for 14+ days, now DETERIORATING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investigation card (check confounders, adherence)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DATA_ABSENCE_WARNING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from patient for 7+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engagement check card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DATA_ABSENCE_CRITICAL</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data from patient for 14+ days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clinical outreach card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METABOLIC_MILESTONE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FBG trajectory crosses below target for 14+ consecutive days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positive reinforcement card</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BP_MILESTONE</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SBP &lt;130 sustained for 14+ days (per ADA 2026 intensive target)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INFO</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positive reinforcement card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MEDICATION_RESPONSE_CONFIRMED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12b delta shows &gt;15 mg/dL FBG improvement with HIGH adherence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KB-20 phenotype response profile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CROSS_MODULE_INCONSISTENCY</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9 shows HIGH adherence but Module 12 shows DETERIORATING trajectory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diagnostic investigation card</w:t>
            </w:r>
          </w:p>
        </w:tc>
      </w:tr>
    </w:tbl>
    <w:p>
      <w:pPr>
        <w:pBdr>
          <w:left w:val="single" w:color="2E75B6" w:sz="12" w:space="8"/>
        </w:pBdr>
        <w:spacing w:after="200" w:before="200"/>
        <w:ind w:left="400"/>
      </w:pPr>
      <w:r>
        <w:rPr>
          <w:rFonts w:ascii="Arial" w:cs="Arial" w:eastAsia="Arial" w:hAnsi="Arial"/>
          <w:i/>
          <w:iCs/>
          <w:color w:val="555555"/>
          <w:sz w:val="20"/>
          <w:szCs w:val="20"/>
        </w:rPr>
        <w:t xml:space="preserve">CROSS_MODULE_INCONSISTENCY is a particularly valuable signal. It means the patient reports doing everything right (high engagement/adherence) but outcomes are worsening. Clinically this suggests either: (a) incorrect phenotype assignment (the intervention doesn’t work for this patient type), (b) unreported confounder (external medication, hospitalisation), or (c) disease progression that has overcome the current treatment intensity. Each warrants physician investigation.</w:t>
      </w:r>
    </w:p>
    <w:p>
      <w:r>
        <w:br w:type="page"/>
      </w:r>
    </w:p>
    <w:p>
      <w:pPr>
        <w:pStyle w:val="Heading1"/>
        <w:spacing w:after="200" w:before="360"/>
      </w:pPr>
      <w:r>
        <w:rPr>
          <w:rFonts w:ascii="Arial" w:cs="Arial" w:eastAsia="Arial" w:hAnsi="Arial"/>
          <w:b/>
          <w:bCs/>
          <w:color w:val="1B3A5C"/>
          <w:sz w:val="32"/>
          <w:szCs w:val="32"/>
        </w:rPr>
        <w:t xml:space="preserve">6. KB-20 State Projection Model</w:t>
      </w:r>
    </w:p>
    <w:p>
      <w:pPr>
        <w:pStyle w:val="Heading2"/>
        <w:spacing w:after="160" w:before="280"/>
      </w:pPr>
      <w:r>
        <w:rPr>
          <w:rFonts w:ascii="Arial" w:cs="Arial" w:eastAsia="Arial" w:hAnsi="Arial"/>
          <w:b/>
          <w:bCs/>
          <w:color w:val="2E75B6"/>
          <w:sz w:val="28"/>
          <w:szCs w:val="28"/>
        </w:rPr>
        <w:t xml:space="preserve">6.1 Field Mapping</w:t>
      </w:r>
    </w:p>
    <w:p>
      <w:pPr>
        <w:spacing w:after="120" w:line="276"/>
      </w:pPr>
      <w:r>
        <w:rPr>
          <w:rFonts w:ascii="Arial" w:cs="Arial" w:eastAsia="Arial" w:hAnsi="Arial"/>
          <w:sz w:val="20"/>
          <w:szCs w:val="20"/>
        </w:rPr>
        <w:t xml:space="preserve">Module 13 writes to specific fields in KB-20’s patient state. Each field has a defined update strategy and conflict resolution rule.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200"/>
        <w:gridCol w:w="42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KB-20 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Module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Strategy</w:t>
            </w:r>
          </w:p>
        </w:tc>
        <w:tc>
          <w:tcPr>
            <w:tcW w:type="dxa" w:w="4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Conflict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bp_variability_state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latest ARV, dipping classification, surge magnitude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Last-write-wins with timestamp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engagement_state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9</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Replace: composite score + per-signal breakdown</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Last-write-wins with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meal_response_profile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10b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weekly pattern appended to rolling 90-day history</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 with dedup by week number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fitness_state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11b</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Replace: latest weekly fitness pattern</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Last-write-wins with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active_interventions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intervention_id → window status (OPENED/MIDPOINT/CLOSED)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Upsert by intervention_id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intervention_outcomes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12b</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Append: completed intervention delta record</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Append with dedup by intervention_id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ckm_risk_velocity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 (computed)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per-domain + composite velocity scores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Last-write-wins with timestamp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data_completeness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Module 13 (computed)</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Replace: per-module freshness + composite score</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Last-write-wins with timestamp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last_streaming_update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timestamp of last state sync</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overwrite</w:t>
            </w:r>
          </w:p>
        </w:tc>
      </w:tr>
    </w:tbl>
    <w:p>
      <w:pPr>
        <w:pStyle w:val="Heading2"/>
        <w:spacing w:after="160" w:before="280"/>
      </w:pPr>
      <w:r>
        <w:rPr>
          <w:rFonts w:ascii="Arial" w:cs="Arial" w:eastAsia="Arial" w:hAnsi="Arial"/>
          <w:b/>
          <w:bCs/>
          <w:color w:val="2E75B6"/>
          <w:sz w:val="28"/>
          <w:szCs w:val="28"/>
        </w:rPr>
        <w:t xml:space="preserve">6.2 Write Coalescing</w:t>
      </w:r>
    </w:p>
    <w:p>
      <w:pPr>
        <w:spacing w:after="120" w:line="276"/>
      </w:pPr>
      <w:r>
        <w:rPr>
          <w:rFonts w:ascii="Arial" w:cs="Arial" w:eastAsia="Arial" w:hAnsi="Arial"/>
          <w:sz w:val="20"/>
          <w:szCs w:val="20"/>
        </w:rPr>
        <w:t xml:space="preserve">When multiple module outputs arrive for the same patient within a short window (common when a lab result triggers updates from Modules 7, 9, and 12 simultaneously), Module 13 coalesces the writes into a single KB-20 update. The coalescing window is 5 seconds — short enough to maintain near-real-time state, long enough to batch concurrent updates.</w:t>
      </w:r>
    </w:p>
    <w:p>
      <w:pPr>
        <w:spacing w:after="120" w:line="276"/>
      </w:pPr>
      <w:r>
        <w:rPr>
          <w:rFonts w:ascii="Arial" w:cs="Arial" w:eastAsia="Arial" w:hAnsi="Arial"/>
          <w:sz w:val="20"/>
          <w:szCs w:val="20"/>
        </w:rPr>
        <w:t xml:space="preserve">Implementation: a processing-time timer is registered 5 seconds after the first buffered update. When it fires, all buffered field updates are flushed as a single PostgreSQL transaction and a single Redis pipeline. If a new event arrives during the coalescing window, the buffer is extended but the timer is NOT re-registered (preventing indefinite deferral).</w:t>
      </w:r>
    </w:p>
    <w:p>
      <w:pPr>
        <w:pStyle w:val="Heading2"/>
        <w:spacing w:after="160" w:before="280"/>
      </w:pPr>
      <w:r>
        <w:rPr>
          <w:rFonts w:ascii="Arial" w:cs="Arial" w:eastAsia="Arial" w:hAnsi="Arial"/>
          <w:b/>
          <w:bCs/>
          <w:color w:val="2E75B6"/>
          <w:sz w:val="28"/>
          <w:szCs w:val="28"/>
        </w:rPr>
        <w:t xml:space="preserve">6.3 Circuit-Breaking</w:t>
      </w:r>
    </w:p>
    <w:p>
      <w:pPr>
        <w:spacing w:after="120" w:line="276"/>
      </w:pPr>
      <w:r>
        <w:rPr>
          <w:rFonts w:ascii="Arial" w:cs="Arial" w:eastAsia="Arial" w:hAnsi="Arial"/>
          <w:sz w:val="20"/>
          <w:szCs w:val="20"/>
        </w:rPr>
        <w:t xml:space="preserve">If KB-20 (PostgreSQL or Redis) is unreachable, Module 13 must NOT block the Flink pipeline. The KB20AsyncSinkFunction implements a circuit breaker: after 3 consecutive failures, it opens the circuit for 30 seconds. During open-circuit, state updates are buffered in Flink’s keyed state (up to 1000 entries per patient). When the circuit closes, buffered updates are flushed. If the buffer exceeds 1000, oldest entries are evicted with a WARNING log. CKM risk computation and state-change event emission continue regardless of KB-20 availability.</w:t>
      </w:r>
    </w:p>
    <w:p>
      <w:r>
        <w:br w:type="page"/>
      </w:r>
    </w:p>
    <w:p>
      <w:pPr>
        <w:pStyle w:val="Heading1"/>
        <w:spacing w:after="200" w:before="360"/>
      </w:pPr>
      <w:r>
        <w:rPr>
          <w:rFonts w:ascii="Arial" w:cs="Arial" w:eastAsia="Arial" w:hAnsi="Arial"/>
          <w:b/>
          <w:bCs/>
          <w:color w:val="1B3A5C"/>
          <w:sz w:val="32"/>
          <w:szCs w:val="32"/>
        </w:rPr>
        <w:t xml:space="preserve">7. Implementation Tasks</w:t>
      </w:r>
    </w:p>
    <w:p>
      <w:pPr>
        <w:pStyle w:val="Heading2"/>
        <w:spacing w:after="160" w:before="280"/>
      </w:pPr>
      <w:r>
        <w:rPr>
          <w:rFonts w:ascii="Arial" w:cs="Arial" w:eastAsia="Arial" w:hAnsi="Arial"/>
          <w:b/>
          <w:bCs/>
          <w:color w:val="2E75B6"/>
          <w:sz w:val="28"/>
          <w:szCs w:val="28"/>
        </w:rPr>
        <w:t xml:space="preserve">Task 1: CKMRiskDomain Enum + CKMRiskVelocity Model</w:t>
      </w:r>
    </w:p>
    <w:p>
      <w:pPr>
        <w:spacing w:after="120" w:line="276"/>
      </w:pPr>
      <w:r>
        <w:rPr>
          <w:rFonts w:ascii="Arial" w:cs="Arial" w:eastAsia="Arial" w:hAnsi="Arial"/>
          <w:sz w:val="20"/>
          <w:szCs w:val="20"/>
        </w:rPr>
        <w:t xml:space="preserve">Files: models/CKMRiskDomain.java, models/CKMRiskVelocity.java</w:t>
      </w:r>
    </w:p>
    <w:p>
      <w:pPr>
        <w:spacing w:after="120" w:line="276"/>
      </w:pPr>
      <w:r>
        <w:rPr>
          <w:rFonts w:ascii="Arial" w:cs="Arial" w:eastAsia="Arial" w:hAnsi="Arial"/>
          <w:sz w:val="20"/>
          <w:szCs w:val="20"/>
        </w:rPr>
        <w:t xml:space="preserve">CKMRiskDomain enum with METABOLIC, RENAL, CARDIOVASCULAR. Each carries its deterioration threshold, improvement threshold, and weight in composite score. CKMRiskVelocity holds per-domain scores [-1, +1], composite score, CKM stage estimate, cross-domain amplification flag, and computation timestamp. Builder pattern.</w:t>
      </w:r>
    </w:p>
    <w:p>
      <w:pPr>
        <w:pStyle w:val="Heading2"/>
        <w:spacing w:after="160" w:before="280"/>
      </w:pPr>
      <w:r>
        <w:rPr>
          <w:rFonts w:ascii="Arial" w:cs="Arial" w:eastAsia="Arial" w:hAnsi="Arial"/>
          <w:b/>
          <w:bCs/>
          <w:color w:val="2E75B6"/>
          <w:sz w:val="28"/>
          <w:szCs w:val="28"/>
        </w:rPr>
        <w:t xml:space="preserve">Task 2: ClinicalStateChangeType Enum + ClinicalStateChangeEvent Model</w:t>
      </w:r>
    </w:p>
    <w:p>
      <w:pPr>
        <w:spacing w:after="120" w:line="276"/>
      </w:pPr>
      <w:r>
        <w:rPr>
          <w:rFonts w:ascii="Arial" w:cs="Arial" w:eastAsia="Arial" w:hAnsi="Arial"/>
          <w:sz w:val="20"/>
          <w:szCs w:val="20"/>
        </w:rPr>
        <w:t xml:space="preserve">Files: models/ClinicalStateChangeType.java, models/ClinicalStateChangeEvent.java</w:t>
      </w:r>
    </w:p>
    <w:p>
      <w:pPr>
        <w:spacing w:after="120" w:line="276"/>
      </w:pPr>
      <w:r>
        <w:rPr>
          <w:rFonts w:ascii="Arial" w:cs="Arial" w:eastAsia="Arial" w:hAnsi="Arial"/>
          <w:sz w:val="20"/>
          <w:szCs w:val="20"/>
        </w:rPr>
        <w:t xml:space="preserve">12 state change types with priority levels (CRITICAL, HIGH, MEDIUM, LOW, INFO). ClinicalStateChangeEvent (16 fields): change_id, patient_id, change_type, priority, previous_value, current_value, domain, trigger_module, ckm_velocity_at_change, recommended_action, metadata, processing_timestamp, version, originating_signals (list of signal IDs that triggered the change), data_completeness_at_change, confidence_score.</w:t>
      </w:r>
    </w:p>
    <w:p>
      <w:pPr>
        <w:pStyle w:val="Heading2"/>
        <w:spacing w:after="160" w:before="280"/>
      </w:pPr>
      <w:r>
        <w:rPr>
          <w:rFonts w:ascii="Arial" w:cs="Arial" w:eastAsia="Arial" w:hAnsi="Arial"/>
          <w:b/>
          <w:bCs/>
          <w:color w:val="2E75B6"/>
          <w:sz w:val="28"/>
          <w:szCs w:val="28"/>
        </w:rPr>
        <w:t xml:space="preserve">Task 3: ClinicalStateSummary (Per-Patient Keyed State)</w:t>
      </w:r>
    </w:p>
    <w:p>
      <w:pPr>
        <w:spacing w:after="120" w:line="276"/>
      </w:pPr>
      <w:r>
        <w:rPr>
          <w:rFonts w:ascii="Arial" w:cs="Arial" w:eastAsia="Arial" w:hAnsi="Arial"/>
          <w:sz w:val="20"/>
          <w:szCs w:val="20"/>
        </w:rPr>
        <w:t xml:space="preserve">File: models/ClinicalStateSummary.java</w:t>
      </w:r>
    </w:p>
    <w:p>
      <w:pPr>
        <w:spacing w:after="120" w:line="276"/>
      </w:pPr>
      <w:r>
        <w:rPr>
          <w:rFonts w:ascii="Arial" w:cs="Arial" w:eastAsia="Arial" w:hAnsi="Arial"/>
          <w:sz w:val="20"/>
          <w:szCs w:val="20"/>
        </w:rPr>
        <w:t xml:space="preserve">Per-patient state managed by Module 13’s KPF. Holds: latest BP variability metrics, latest engagement score, latest meal pattern summary, latest fitness pattern summary, active intervention windows (map by intervention_id), completed intervention deltas (list), current lab values (FBG, HbA1c, eGFR, lipids, UACR), last-computed CKMRiskVelocity, last-emitted ClinicalStateChangeEvent per type (for dedup), per-module last-seen timestamps, write coalescing buffer. 90-day TTL with OnReadAndWrite.</w:t>
      </w:r>
    </w:p>
    <w:p>
      <w:pPr>
        <w:pStyle w:val="Heading2"/>
        <w:spacing w:after="160" w:before="280"/>
      </w:pPr>
      <w:r>
        <w:rPr>
          <w:rFonts w:ascii="Arial" w:cs="Arial" w:eastAsia="Arial" w:hAnsi="Arial"/>
          <w:b/>
          <w:bCs/>
          <w:color w:val="2E75B6"/>
          <w:sz w:val="28"/>
          <w:szCs w:val="28"/>
        </w:rPr>
        <w:t xml:space="preserve">Task 4: KB20StateUpdate Model</w:t>
      </w:r>
    </w:p>
    <w:p>
      <w:pPr>
        <w:spacing w:after="120" w:line="276"/>
      </w:pPr>
      <w:r>
        <w:rPr>
          <w:rFonts w:ascii="Arial" w:cs="Arial" w:eastAsia="Arial" w:hAnsi="Arial"/>
          <w:sz w:val="20"/>
          <w:szCs w:val="20"/>
        </w:rPr>
        <w:t xml:space="preserve">File: models/KB20StateUpdate.java</w:t>
      </w:r>
    </w:p>
    <w:p>
      <w:pPr>
        <w:spacing w:after="120" w:line="276"/>
      </w:pPr>
      <w:r>
        <w:rPr>
          <w:rFonts w:ascii="Arial" w:cs="Arial" w:eastAsia="Arial" w:hAnsi="Arial"/>
          <w:sz w:val="20"/>
          <w:szCs w:val="20"/>
        </w:rPr>
        <w:t xml:space="preserve">Field-level diff model. Contains patient_id, map of field_name → new_value pairs, operation type (REPLACE, MERGE, APPEND, UPSERT), timestamp, source_module. Serialisable to both PostgreSQL parameterised query and Redis pipeline commands.</w:t>
      </w:r>
    </w:p>
    <w:p>
      <w:pPr>
        <w:pStyle w:val="Heading2"/>
        <w:spacing w:after="160" w:before="280"/>
      </w:pPr>
      <w:r>
        <w:rPr>
          <w:rFonts w:ascii="Arial" w:cs="Arial" w:eastAsia="Arial" w:hAnsi="Arial"/>
          <w:b/>
          <w:bCs/>
          <w:color w:val="2E75B6"/>
          <w:sz w:val="28"/>
          <w:szCs w:val="28"/>
        </w:rPr>
        <w:t xml:space="preserve">Task 5: Module13TestBuilder</w:t>
      </w:r>
    </w:p>
    <w:p>
      <w:pPr>
        <w:spacing w:after="120" w:line="276"/>
      </w:pPr>
      <w:r>
        <w:rPr>
          <w:rFonts w:ascii="Arial" w:cs="Arial" w:eastAsia="Arial" w:hAnsi="Arial"/>
          <w:sz w:val="20"/>
          <w:szCs w:val="20"/>
        </w:rPr>
        <w:t xml:space="preserve">File: builders/Module13TestBuilder.java</w:t>
      </w:r>
    </w:p>
    <w:p>
      <w:pPr>
        <w:spacing w:after="120" w:line="276"/>
      </w:pPr>
      <w:r>
        <w:rPr>
          <w:rFonts w:ascii="Arial" w:cs="Arial" w:eastAsia="Arial" w:hAnsi="Arial"/>
          <w:sz w:val="20"/>
          <w:szCs w:val="20"/>
        </w:rPr>
        <w:t xml:space="preserve">Factory methods for: BP variability metric events, engagement score events, meal pattern events, fitness pattern events, intervention window signals, intervention delta events, lab results (eGFR, HbA1c, lipids, UACR). State builders for: empty state, state with baselines, state with active interventions, state with historical CKM velocities.</w:t>
      </w:r>
    </w:p>
    <w:p>
      <w:pPr>
        <w:pStyle w:val="Heading2"/>
        <w:spacing w:after="160" w:before="280"/>
      </w:pPr>
      <w:r>
        <w:rPr>
          <w:rFonts w:ascii="Arial" w:cs="Arial" w:eastAsia="Arial" w:hAnsi="Arial"/>
          <w:b/>
          <w:bCs/>
          <w:color w:val="2E75B6"/>
          <w:sz w:val="28"/>
          <w:szCs w:val="28"/>
        </w:rPr>
        <w:t xml:space="preserve">Task 6: Module13CKMRiskComputer (Static Analyser) + 7 Tests</w:t>
      </w:r>
    </w:p>
    <w:p>
      <w:pPr>
        <w:spacing w:after="120" w:line="276"/>
      </w:pPr>
      <w:r>
        <w:rPr>
          <w:rFonts w:ascii="Arial" w:cs="Arial" w:eastAsia="Arial" w:hAnsi="Arial"/>
          <w:sz w:val="20"/>
          <w:szCs w:val="20"/>
        </w:rPr>
        <w:t xml:space="preserve">Files: operators/Module13CKMRiskComputer.java, operators/Module13CKMRiskComputerTest.java</w:t>
      </w:r>
    </w:p>
    <w:p>
      <w:pPr>
        <w:spacing w:after="120" w:line="276"/>
      </w:pPr>
      <w:r>
        <w:rPr>
          <w:rFonts w:ascii="Arial" w:cs="Arial" w:eastAsia="Arial" w:hAnsi="Arial"/>
          <w:sz w:val="20"/>
          <w:szCs w:val="20"/>
        </w:rPr>
        <w:t xml:space="preserve">7 tests: (1) metabolic velocity from declining FBG = IMPROVING, (2) renal velocity from eGFR decline &gt;3/year = DETERIORATING, (3) cardiovascular velocity from ARV HIGH + morning surge = DETERIORATING, (4) composite worst-domain-wins, (5) cross-domain amplification when 2+ domains worsening, (6) all domains improving = IMPROVING, (7) insufficient data returns UNKNOWN velocity.</w:t>
      </w:r>
    </w:p>
    <w:p>
      <w:pPr>
        <w:spacing w:after="120" w:line="276"/>
      </w:pPr>
      <w:r>
        <w:rPr>
          <w:rFonts w:ascii="Arial" w:cs="Arial" w:eastAsia="Arial" w:hAnsi="Arial"/>
          <w:sz w:val="20"/>
          <w:szCs w:val="20"/>
        </w:rPr>
        <w:t xml:space="preserve">Implementation: computes per-domain velocity scores from ClinicalStateSummary fields. Uses configurable thresholds loaded from constructor (for market-shim calibration). Normalises each domain to [-1, +1]. Applies worst-domain-wins for composite. Applies 1.5x amplification when 2+ domains exceed +0.2.</w:t>
      </w:r>
    </w:p>
    <w:p>
      <w:pPr>
        <w:pStyle w:val="Heading2"/>
        <w:spacing w:after="160" w:before="280"/>
      </w:pPr>
      <w:r>
        <w:rPr>
          <w:rFonts w:ascii="Arial" w:cs="Arial" w:eastAsia="Arial" w:hAnsi="Arial"/>
          <w:b/>
          <w:bCs/>
          <w:color w:val="2E75B6"/>
          <w:sz w:val="28"/>
          <w:szCs w:val="28"/>
        </w:rPr>
        <w:t xml:space="preserve">Task 7: Module13StateChangeDetector (Static Analyser) + 6 Tests</w:t>
      </w:r>
    </w:p>
    <w:p>
      <w:pPr>
        <w:spacing w:after="120" w:line="276"/>
      </w:pPr>
      <w:r>
        <w:rPr>
          <w:rFonts w:ascii="Arial" w:cs="Arial" w:eastAsia="Arial" w:hAnsi="Arial"/>
          <w:sz w:val="20"/>
          <w:szCs w:val="20"/>
        </w:rPr>
        <w:t xml:space="preserve">Files: operators/Module13StateChangeDetector.java, operators/Module13StateChangeDetectorTest.java</w:t>
      </w:r>
    </w:p>
    <w:p>
      <w:pPr>
        <w:spacing w:after="120" w:line="276"/>
      </w:pPr>
      <w:r>
        <w:rPr>
          <w:rFonts w:ascii="Arial" w:cs="Arial" w:eastAsia="Arial" w:hAnsi="Arial"/>
          <w:sz w:val="20"/>
          <w:szCs w:val="20"/>
        </w:rPr>
        <w:t xml:space="preserve">6 tests: (1) CKM_RISK_ESCALATION from STABLE to DETERIORATING, (2) ENGAGEMENT_COLLAPSE from ACTIVE to DISENGAGED, (3) INTERVENTION_FUTILITY after 2 consecutive INSUFFICIENT, (4) CROSS_MODULE_INCONSISTENCY (high adherence + deteriorating trajectory), (5) METABOLIC_MILESTONE (FBG below target 14 days), (6) deduplication — same state change not emitted twice within 24 hours.</w:t>
      </w:r>
    </w:p>
    <w:p>
      <w:pPr>
        <w:spacing w:after="120" w:line="276"/>
      </w:pPr>
      <w:r>
        <w:rPr>
          <w:rFonts w:ascii="Arial" w:cs="Arial" w:eastAsia="Arial" w:hAnsi="Arial"/>
          <w:sz w:val="20"/>
          <w:szCs w:val="20"/>
        </w:rPr>
        <w:t xml:space="preserve">Implementation: compares current CKMRiskVelocity and module outputs against previous values stored in ClinicalStateSummary. Checks each of the 12 state change type conditions. Applies 24-hour dedup window per change type per patient. Returns list of detected changes (empty if none).</w:t>
      </w:r>
    </w:p>
    <w:p>
      <w:pPr>
        <w:pStyle w:val="Heading2"/>
        <w:spacing w:after="160" w:before="280"/>
      </w:pPr>
      <w:r>
        <w:rPr>
          <w:rFonts w:ascii="Arial" w:cs="Arial" w:eastAsia="Arial" w:hAnsi="Arial"/>
          <w:b/>
          <w:bCs/>
          <w:color w:val="2E75B6"/>
          <w:sz w:val="28"/>
          <w:szCs w:val="28"/>
        </w:rPr>
        <w:t xml:space="preserve">Task 8: Module13DataCompletenessMonitor (Static Analyser) + 5 Tests</w:t>
      </w:r>
    </w:p>
    <w:p>
      <w:pPr>
        <w:spacing w:after="120" w:line="276"/>
      </w:pPr>
      <w:r>
        <w:rPr>
          <w:rFonts w:ascii="Arial" w:cs="Arial" w:eastAsia="Arial" w:hAnsi="Arial"/>
          <w:sz w:val="20"/>
          <w:szCs w:val="20"/>
        </w:rPr>
        <w:t xml:space="preserve">Files: operators/Module13DataCompletenessMonitor.java, operators/Module13DataCompletenessMonitorTest.java</w:t>
      </w:r>
    </w:p>
    <w:p>
      <w:pPr>
        <w:spacing w:after="120" w:line="276"/>
      </w:pPr>
      <w:r>
        <w:rPr>
          <w:rFonts w:ascii="Arial" w:cs="Arial" w:eastAsia="Arial" w:hAnsi="Arial"/>
          <w:sz w:val="20"/>
          <w:szCs w:val="20"/>
        </w:rPr>
        <w:t xml:space="preserve">5 tests: (1) all modules reporting within 7 days = score 1.0, (2) one module stale &gt;7 days = reduced score, (3) all modules stale &gt;14 days = score near 0 + DATA_ABSENCE_CRITICAL, (4) specific module absence flagged correctly, (5) CGM-tier patients penalised more for meal response gaps than SMBG-tier.</w:t>
      </w:r>
    </w:p>
    <w:p>
      <w:pPr>
        <w:spacing w:after="120" w:line="276"/>
      </w:pPr>
      <w:r>
        <w:rPr>
          <w:rFonts w:ascii="Arial" w:cs="Arial" w:eastAsia="Arial" w:hAnsi="Arial"/>
          <w:sz w:val="20"/>
          <w:szCs w:val="20"/>
        </w:rPr>
        <w:t xml:space="preserve">Implementation: maintains last-seen timestamp per upstream module per patient. Computes freshness score (1.0 for &lt;7d, linear decay to 0 at 30d). Composite score = weighted average across modules. Weight depends on patient’s data tier (CGM patients: meal/activity patterns weighted higher; SMBG patients: lab results weighted higher).</w:t>
      </w:r>
    </w:p>
    <w:p>
      <w:pPr>
        <w:pStyle w:val="Heading2"/>
        <w:spacing w:after="160" w:before="280"/>
      </w:pPr>
      <w:r>
        <w:rPr>
          <w:rFonts w:ascii="Arial" w:cs="Arial" w:eastAsia="Arial" w:hAnsi="Arial"/>
          <w:b/>
          <w:bCs/>
          <w:color w:val="2E75B6"/>
          <w:sz w:val="28"/>
          <w:szCs w:val="28"/>
        </w:rPr>
        <w:t xml:space="preserve">Task 9: Module13KB20StateProjector (Static Analyser) + 5 Tests</w:t>
      </w:r>
    </w:p>
    <w:p>
      <w:pPr>
        <w:spacing w:after="120" w:line="276"/>
      </w:pPr>
      <w:r>
        <w:rPr>
          <w:rFonts w:ascii="Arial" w:cs="Arial" w:eastAsia="Arial" w:hAnsi="Arial"/>
          <w:sz w:val="20"/>
          <w:szCs w:val="20"/>
        </w:rPr>
        <w:t xml:space="preserve">Files: operators/Module13KB20StateProjector.java, operators/Module13KB20StateProjectorTest.java</w:t>
      </w:r>
    </w:p>
    <w:p>
      <w:pPr>
        <w:spacing w:after="120" w:line="276"/>
      </w:pPr>
      <w:r>
        <w:rPr>
          <w:rFonts w:ascii="Arial" w:cs="Arial" w:eastAsia="Arial" w:hAnsi="Arial"/>
          <w:sz w:val="20"/>
          <w:szCs w:val="20"/>
        </w:rPr>
        <w:t xml:space="preserve">5 tests: (1) BP variability event → correct KB-20 field mapping, (2) engagement event → correct field mapping, (3) intervention window OPENED → upsert to active_interventions map, (4) intervention window CLOSED → remove from active + append to outcomes, (5) unknown event type → no update (defensive).</w:t>
      </w:r>
    </w:p>
    <w:p>
      <w:pPr>
        <w:spacing w:after="120" w:line="276"/>
      </w:pPr>
      <w:r>
        <w:rPr>
          <w:rFonts w:ascii="Arial" w:cs="Arial" w:eastAsia="Arial" w:hAnsi="Arial"/>
          <w:sz w:val="20"/>
          <w:szCs w:val="20"/>
        </w:rPr>
        <w:t xml:space="preserve">Implementation: maps each upstream module’s output event to a KB20StateUpdate. Handles field-level diff computation. Does NOT perform the write — that’s the async sink’s job.</w:t>
      </w:r>
    </w:p>
    <w:p>
      <w:pPr>
        <w:pStyle w:val="Heading2"/>
        <w:spacing w:after="160" w:before="280"/>
      </w:pPr>
      <w:r>
        <w:rPr>
          <w:rFonts w:ascii="Arial" w:cs="Arial" w:eastAsia="Arial" w:hAnsi="Arial"/>
          <w:b/>
          <w:bCs/>
          <w:color w:val="2E75B6"/>
          <w:sz w:val="28"/>
          <w:szCs w:val="28"/>
        </w:rPr>
        <w:t xml:space="preserve">Task 10: Module13_ClinicalStateSynchroniser (Main KPF)</w:t>
      </w:r>
    </w:p>
    <w:p>
      <w:pPr>
        <w:spacing w:after="120" w:line="276"/>
      </w:pPr>
      <w:r>
        <w:rPr>
          <w:rFonts w:ascii="Arial" w:cs="Arial" w:eastAsia="Arial" w:hAnsi="Arial"/>
          <w:sz w:val="20"/>
          <w:szCs w:val="20"/>
        </w:rPr>
        <w:t xml:space="preserve">File: operators/Module13_ClinicalStateSynchroniser.java</w:t>
      </w:r>
    </w:p>
    <w:p>
      <w:pPr>
        <w:spacing w:after="120" w:line="276"/>
      </w:pPr>
      <w:r>
        <w:rPr>
          <w:rFonts w:ascii="Arial" w:cs="Arial" w:eastAsia="Arial" w:hAnsi="Arial"/>
          <w:sz w:val="20"/>
          <w:szCs w:val="20"/>
        </w:rPr>
        <w:t xml:space="preserve">Main KeyedProcessFunction&lt;String, CanonicalEvent, ClinicalStateChangeEvent&gt;. Consumes from 7-topic union. Routes events by source topic discriminator. For each event: (1) update ClinicalStateSummary with new data, (2) compute CKM risk velocity via CKMRiskComputer, (3) detect state changes via StateChangeDetector, (4) emit ClinicalStateChangeEvent to Collector, (5) project KB-20 update via KB20StateProjector, (6) buffer update for write coalescing. Daily timer per patient for data absence detection via DataCompletenessMonitor.</w:t>
      </w:r>
    </w:p>
    <w:p>
      <w:pPr>
        <w:pStyle w:val="Heading2"/>
        <w:spacing w:after="160" w:before="280"/>
      </w:pPr>
      <w:r>
        <w:rPr>
          <w:rFonts w:ascii="Arial" w:cs="Arial" w:eastAsia="Arial" w:hAnsi="Arial"/>
          <w:b/>
          <w:bCs/>
          <w:color w:val="2E75B6"/>
          <w:sz w:val="28"/>
          <w:szCs w:val="28"/>
        </w:rPr>
        <w:t xml:space="preserve">Task 11: KB20AsyncSinkFunction</w:t>
      </w:r>
    </w:p>
    <w:p>
      <w:pPr>
        <w:spacing w:after="120" w:line="276"/>
      </w:pPr>
      <w:r>
        <w:rPr>
          <w:rFonts w:ascii="Arial" w:cs="Arial" w:eastAsia="Arial" w:hAnsi="Arial"/>
          <w:sz w:val="20"/>
          <w:szCs w:val="20"/>
        </w:rPr>
        <w:t xml:space="preserve">File: sinks/KB20AsyncSinkFunction.java</w:t>
      </w:r>
    </w:p>
    <w:p>
      <w:pPr>
        <w:spacing w:after="120" w:line="276"/>
      </w:pPr>
      <w:r>
        <w:rPr>
          <w:rFonts w:ascii="Arial" w:cs="Arial" w:eastAsia="Arial" w:hAnsi="Arial"/>
          <w:sz w:val="20"/>
          <w:szCs w:val="20"/>
        </w:rPr>
        <w:t xml:space="preserve">Async sink that receives KB20StateUpdate batches from the main KPF’s side output. Writes to PostgreSQL (parameterised upsert) and Redis (pipeline SET for projections). Circuit breaker: 3 failures → open for 30s. Retry with exponential backoff (100ms, 200ms, 400ms). Metrics: write_latency_ms, write_failures, circuit_state.</w:t>
      </w:r>
    </w:p>
    <w:p>
      <w:pPr>
        <w:pStyle w:val="Heading2"/>
        <w:spacing w:after="160" w:before="280"/>
      </w:pPr>
      <w:r>
        <w:rPr>
          <w:rFonts w:ascii="Arial" w:cs="Arial" w:eastAsia="Arial" w:hAnsi="Arial"/>
          <w:b/>
          <w:bCs/>
          <w:color w:val="2E75B6"/>
          <w:sz w:val="28"/>
          <w:szCs w:val="28"/>
        </w:rPr>
        <w:t xml:space="preserve">Task 12: KafkaTopics + FlinkJobOrchestrator Wiring</w:t>
      </w:r>
    </w:p>
    <w:p>
      <w:pPr>
        <w:spacing w:after="120" w:line="276"/>
      </w:pPr>
      <w:r>
        <w:rPr>
          <w:rFonts w:ascii="Arial" w:cs="Arial" w:eastAsia="Arial" w:hAnsi="Arial"/>
          <w:sz w:val="20"/>
          <w:szCs w:val="20"/>
        </w:rPr>
        <w:t xml:space="preserve">Add CLINICAL_STATE_CHANGE_EVENTS topic constant. Add module13/clinical-state-sync switch cases. Add launchClinicalStateSynchroniser method with 7-topic union + KB-20 async sink + state-change-events Kafka sink.</w:t>
      </w:r>
    </w:p>
    <w:p>
      <w:pPr>
        <w:pStyle w:val="Heading2"/>
        <w:spacing w:after="160" w:before="280"/>
      </w:pPr>
      <w:r>
        <w:rPr>
          <w:rFonts w:ascii="Arial" w:cs="Arial" w:eastAsia="Arial" w:hAnsi="Arial"/>
          <w:b/>
          <w:bCs/>
          <w:color w:val="2E75B6"/>
          <w:sz w:val="28"/>
          <w:szCs w:val="28"/>
        </w:rPr>
        <w:t xml:space="preserve">Task 13: Lifecycle + Integration + Data Absence Tests</w:t>
      </w:r>
    </w:p>
    <w:p>
      <w:pPr>
        <w:spacing w:after="120" w:line="276"/>
      </w:pPr>
      <w:r>
        <w:rPr>
          <w:rFonts w:ascii="Arial" w:cs="Arial" w:eastAsia="Arial" w:hAnsi="Arial"/>
          <w:sz w:val="20"/>
          <w:szCs w:val="20"/>
        </w:rPr>
        <w:t xml:space="preserve">Files: Module13StateSyncLifecycleTest.java (6 tests), Module13MultiModuleFusionIntegrationTest.java (4 tests), Module13DataAbsenceTimerTest.java (4 tests)</w:t>
      </w:r>
    </w:p>
    <w:p>
      <w:pPr>
        <w:spacing w:after="120" w:line="276"/>
      </w:pPr>
      <w:r>
        <w:rPr>
          <w:rFonts w:ascii="Arial" w:cs="Arial" w:eastAsia="Arial" w:hAnsi="Arial"/>
          <w:sz w:val="20"/>
          <w:szCs w:val="20"/>
        </w:rPr>
        <w:t xml:space="preserve">Lifecycle: state creation, update from each module type, CKM velocity recomputation on new data, coalescing buffer behaviour, timer registration, state TTL. Integration: simultaneous events from 3 modules → single fused state → correct composite velocity. Data absence: daily timer fires with no events → DATA_ABSENCE_WARNING at 7d, CRITICAL at 14d, timer not re-registered if patient removed.</w:t>
      </w:r>
    </w:p>
    <w:p>
      <w:r>
        <w:br w:type="page"/>
      </w:r>
    </w:p>
    <w:p>
      <w:pPr>
        <w:pStyle w:val="Heading1"/>
        <w:spacing w:after="200" w:before="360"/>
      </w:pPr>
      <w:r>
        <w:rPr>
          <w:rFonts w:ascii="Arial" w:cs="Arial" w:eastAsia="Arial" w:hAnsi="Arial"/>
          <w:b/>
          <w:bCs/>
          <w:color w:val="1B3A5C"/>
          <w:sz w:val="32"/>
          <w:szCs w:val="32"/>
        </w:rPr>
        <w:t xml:space="preserve">8. ClinicalStateChangeEvent Schema (16 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72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(UUID)</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this state change event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patient_id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Patient identifier (partition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change_type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ClinicalStateChangeType (enum)</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12 defined state change types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priority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 (CRITICAL/HIGH/MEDIUM/LOW/INFO)</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Clinical urgency level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previous_value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(JSON)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state value for the changed dimension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current_value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 (JSON)</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state value after the 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CKMRiskDomain (nullable)</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CKM domain triggered the change (null for cross-domain)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trigger_module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Which upstream module’s event triggered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ckm_velocity_at_change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CKMRiskVelocity (JSON)</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CKM risk velocity snapshot at time of change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recommended_action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Suggested KB-23 card type to generate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originating_signals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List&lt;String&gt;</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IDs from upstream modules that contributed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data_completeness_at_change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double (0–1)</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 completeness score at time of change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confidence_score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 (0–1)</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in the state change (lower with sparse data)</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metadata</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Map&lt;String, Object&gt;</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Additional context (confounder flags, concurrent interventions)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processing_timestamp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w:t>
            </w:r>
          </w:p>
        </w:tc>
        <w:tc>
          <w:tcPr>
            <w:tcW w:type="dxa" w:w="7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Epoch ms when this event was generated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7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Schema version (1.0)</w:t>
            </w:r>
          </w:p>
        </w:tc>
      </w:tr>
    </w:tbl>
    <w:p>
      <w:r>
        <w:br w:type="page"/>
      </w:r>
    </w:p>
    <w:p>
      <w:pPr>
        <w:pStyle w:val="Heading1"/>
        <w:spacing w:after="200" w:before="360"/>
      </w:pPr>
      <w:r>
        <w:rPr>
          <w:rFonts w:ascii="Arial" w:cs="Arial" w:eastAsia="Arial" w:hAnsi="Arial"/>
          <w:b/>
          <w:bCs/>
          <w:color w:val="1B3A5C"/>
          <w:sz w:val="32"/>
          <w:szCs w:val="32"/>
        </w:rPr>
        <w:t xml:space="preserve">9. Downstream Consumer Integration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62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Events Consumed</w:t>
            </w:r>
          </w:p>
        </w:tc>
        <w:tc>
          <w:tcPr>
            <w:tcW w:type="dxa" w:w="6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KB-23 Decision Card Engine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CKM_RISK_ESCALATION, RENAL_RAPID_DECLINE, TRAJECTORY_REVERSAL, CROSS_MODULE_INCONSISTENCY</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urgent review Decision Card with full CKM velocity context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BCE Coaching Engine (KB-21)</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ENGAGEMENT_COLLAPSE, DATA_ABSENCE_WARNING, METABOLIC_MILESTONE, BP_MILESTONE</w:t>
            </w:r>
          </w:p>
        </w:tc>
        <w:tc>
          <w:tcPr>
            <w:tcW w:type="dxa" w:w="6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Send behavioural nudge (for declines) or celebration (for milestones)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V-MCU RunCycle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KB-20 state (materialised by Module 13)</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RunCycle operates on current streaming state, not stale snapshot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KB-26 Digital Twin</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 state (materialised by Module 13)</w:t>
            </w:r>
          </w:p>
        </w:tc>
        <w:tc>
          <w:tcPr>
            <w:tcW w:type="dxa" w:w="6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Twin calibration uses latest intervention outcomes and metric trajectories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Physician Dashboard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state changes + KB-20 projections</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CKM risk gauge + state change notification timeline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IOR Generator (batch)</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 state (materialised by Module 13)</w:t>
            </w:r>
          </w:p>
        </w:tc>
        <w:tc>
          <w:tcPr>
            <w:tcW w:type="dxa" w:w="6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Intervention outcome reports use current state as ‘close’ snapshot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Audit/Analytics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ClinicalStateChangeEvents</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Population-level state transition analytics, CKM stage progression rates</w:t>
            </w:r>
          </w:p>
        </w:tc>
      </w:tr>
    </w:tbl>
    <w:p>
      <w:r>
        <w:br w:type="page"/>
      </w:r>
    </w:p>
    <w:p>
      <w:pPr>
        <w:pStyle w:val="Heading1"/>
        <w:spacing w:after="200" w:before="360"/>
      </w:pPr>
      <w:r>
        <w:rPr>
          <w:rFonts w:ascii="Arial" w:cs="Arial" w:eastAsia="Arial" w:hAnsi="Arial"/>
          <w:b/>
          <w:bCs/>
          <w:color w:val="1B3A5C"/>
          <w:sz w:val="32"/>
          <w:szCs w:val="32"/>
        </w:rPr>
        <w:t xml:space="preserve">10. Spec Coverage Matrix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0"/>
        <w:gridCol w:w="2000"/>
        <w:gridCol w:w="1400"/>
      </w:tblGrid>
      <w:tr>
        <w:tc>
          <w:tcPr>
            <w:tcW w:type="dxa" w:w="6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Multi-source union from 7 input topics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Per-domain CKM risk velocity (metabolic, renal, cardiovascular)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worst-domain-wins velocity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Cross-domain amplification (2+ domains worsening)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Asian calibration via market-shim thresholds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clinically significant state change types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7</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24-hour state change deduplication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Per-module data freshness tracking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absence detection (7d warning, 14d 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8, 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 tier-aware completeness scoring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KB-20 field-level state projection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 coalescing (5-second window)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KPF with multi-source routing + timer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Async PostgreSQL + Redis sink with circuit breaker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11</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ClinicalStateChangeEvent output (16 fields)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KB20StateUpdate diff model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FlinkJobOrchestrator wiring with 7-topic union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Daily data absence timer per patient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 10, 13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90-day state TTL with OnReadAndWrite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Covered</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Total test count: 37</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Tasks 6–13</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Covered</w:t>
            </w:r>
          </w:p>
        </w:tc>
      </w:tr>
    </w:tbl>
    <w:p>
      <w:r>
        <w:br w:type="page"/>
      </w:r>
    </w:p>
    <w:p>
      <w:pPr>
        <w:pStyle w:val="Heading1"/>
        <w:spacing w:after="200" w:before="360"/>
      </w:pPr>
      <w:r>
        <w:rPr>
          <w:rFonts w:ascii="Arial" w:cs="Arial" w:eastAsia="Arial" w:hAnsi="Arial"/>
          <w:b/>
          <w:bCs/>
          <w:color w:val="1B3A5C"/>
          <w:sz w:val="32"/>
          <w:szCs w:val="32"/>
        </w:rPr>
        <w:t xml:space="preserve">11. Risk &amp; Safety Considerations</w:t>
      </w:r>
    </w:p>
    <w:p>
      <w:pPr>
        <w:pStyle w:val="Heading2"/>
        <w:spacing w:after="160" w:before="280"/>
      </w:pPr>
      <w:r>
        <w:rPr>
          <w:rFonts w:ascii="Arial" w:cs="Arial" w:eastAsia="Arial" w:hAnsi="Arial"/>
          <w:b/>
          <w:bCs/>
          <w:color w:val="2E75B6"/>
          <w:sz w:val="28"/>
          <w:szCs w:val="28"/>
        </w:rPr>
        <w:t xml:space="preserve">11.1 Module 13 Does NOT Make Clinical Decisions</w:t>
      </w:r>
    </w:p>
    <w:p>
      <w:pPr>
        <w:spacing w:after="120" w:line="276"/>
      </w:pPr>
      <w:r>
        <w:rPr>
          <w:rFonts w:ascii="Arial" w:cs="Arial" w:eastAsia="Arial" w:hAnsi="Arial"/>
          <w:sz w:val="20"/>
          <w:szCs w:val="20"/>
        </w:rPr>
        <w:t xml:space="preserve">Module 13 computes risk velocities and detects state transitions. It does NOT prescribe treatment, diagnose conditions, or override physician judgment. Every state change event is a SUGGESTION to KB-23 to generate a card for physician review. The physician retains full authority to act on, modify, or dismiss any generated card. This maintains the platform’s deterministic boundary: streaming ML produces signals, the correction loop consumes signals deterministically, physicians make decisions.</w:t>
      </w:r>
    </w:p>
    <w:p>
      <w:pPr>
        <w:pStyle w:val="Heading2"/>
        <w:spacing w:after="160" w:before="280"/>
      </w:pPr>
      <w:r>
        <w:rPr>
          <w:rFonts w:ascii="Arial" w:cs="Arial" w:eastAsia="Arial" w:hAnsi="Arial"/>
          <w:b/>
          <w:bCs/>
          <w:color w:val="2E75B6"/>
          <w:sz w:val="28"/>
          <w:szCs w:val="28"/>
        </w:rPr>
        <w:t xml:space="preserve">11.2 False Positive Mitigation</w:t>
      </w:r>
    </w:p>
    <w:p>
      <w:pPr>
        <w:spacing w:after="120" w:line="276"/>
      </w:pPr>
      <w:r>
        <w:rPr>
          <w:rFonts w:ascii="Arial" w:cs="Arial" w:eastAsia="Arial" w:hAnsi="Arial"/>
          <w:sz w:val="20"/>
          <w:szCs w:val="20"/>
        </w:rPr>
        <w:t xml:space="preserve">State change events include a confidence_score (0–1) computed from data completeness. A CKM_RISK_ESCALATION with confidence 0.3 (sparse data) is presented differently on the dashboard than one with confidence 0.9 (dense, multi-source data). KB-23 can threshold on confidence to avoid generating cards from low-confidence state changes.</w:t>
      </w:r>
    </w:p>
    <w:p>
      <w:pPr>
        <w:pStyle w:val="Heading2"/>
        <w:spacing w:after="160" w:before="280"/>
      </w:pPr>
      <w:r>
        <w:rPr>
          <w:rFonts w:ascii="Arial" w:cs="Arial" w:eastAsia="Arial" w:hAnsi="Arial"/>
          <w:b/>
          <w:bCs/>
          <w:color w:val="2E75B6"/>
          <w:sz w:val="28"/>
          <w:szCs w:val="28"/>
        </w:rPr>
        <w:t xml:space="preserve">11.3 KB-20 Write Safety</w:t>
      </w:r>
    </w:p>
    <w:p>
      <w:pPr>
        <w:spacing w:after="120" w:line="276"/>
      </w:pPr>
      <w:r>
        <w:rPr>
          <w:rFonts w:ascii="Arial" w:cs="Arial" w:eastAsia="Arial" w:hAnsi="Arial"/>
          <w:sz w:val="20"/>
          <w:szCs w:val="20"/>
        </w:rPr>
        <w:t xml:space="preserve">Module 13 writes to KB-20 via field-level upserts, never full-record replacement. This means a Module 13 crash cannot corrupt fields written by other systems (V-MCU RunCycle, IOR Generator). The last_streaming_update timestamp lets consumers distinguish between streaming-updated fields and batch-updated fields. If Module 13 is down, KB-20 reverts to batch-only updates — degraded freshness but no data loss.</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Module 13: Clinical State Synchroniser  |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2026-04-04T19:03:21.486Z</dcterms:created>
  <dcterms:modified xsi:type="dcterms:W3CDTF">2026-04-04T19:03:21.487Z</dcterms:modified>
</cp:coreProperties>
</file>

<file path=docProps/custom.xml><?xml version="1.0" encoding="utf-8"?>
<Properties xmlns="http://schemas.openxmlformats.org/officeDocument/2006/custom-properties" xmlns:vt="http://schemas.openxmlformats.org/officeDocument/2006/docPropsVTypes"/>
</file>