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  <w:jc w:val="center"/>
      </w:pPr>
      <w:r>
        <w:rPr>
          <w:rFonts w:ascii="Arial" w:cs="Arial" w:eastAsia="Arial" w:hAnsi="Arial"/>
          <w:b/>
          <w:bCs/>
          <w:color w:val="1B3A5C"/>
          <w:sz w:val="40"/>
          <w:szCs w:val="40"/>
        </w:rPr>
        <w:t xml:space="preserve">VAIDSHALA v4 — Deep Dive #0</w:t>
      </w:r>
    </w:p>
    <w:p>
      <w:pPr>
        <w:spacing w:after="20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Market Shim Architecture</w:t>
      </w:r>
    </w:p>
    <w:p>
      <w:pPr>
        <w:spacing w:after="2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One Codebase • Seven Configuration Components • Market-Specific Deployment</w:t>
      </w:r>
    </w:p>
    <w:p>
      <w:pPr>
        <w:spacing w:after="20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India + Australia Launch Markets • Extensible to UK, Middle East, Southeast Asia</w:t>
      </w:r>
    </w:p>
    <w:p>
      <w:pPr>
        <w:spacing w:after="600"/>
        <w:jc w:val="center"/>
      </w:pPr>
      <w:r>
        <w:rPr>
          <w:rFonts w:ascii="Arial" w:cs="Arial" w:eastAsia="Arial" w:hAnsi="Arial"/>
          <w:sz w:val="20"/>
          <w:szCs w:val="20"/>
        </w:rPr>
        <w:t xml:space="preserve">March 2026  |  ENGINEERING CONFIDENTIAL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1. Design Principle: Configuration, Not Code Branching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Everything that differs between India and Australia falls into one of seven well-defined categories. Each category is abstracted behind an interface that the market-independent clinical engine consumes. The Flink jobs, V-MCU, KB services, and correction loop contain zero market-specific logic. They read from configuration that is market-specific.</w:t>
      </w:r>
    </w:p>
    <w:p>
      <w:pPr>
        <w:pBdr>
          <w:left w:val="single" w:color="C62828" w:sz="6" w:space="8"/>
        </w:pBdr>
        <w:spacing w:after="200" w:before="200"/>
        <w:ind w:left="240"/>
      </w:pPr>
      <w:r>
        <w:rPr>
          <w:rFonts w:ascii="Arial" w:cs="Arial" w:eastAsia="Arial" w:hAnsi="Arial"/>
          <w:b/>
          <w:bCs/>
          <w:color w:val="C62828"/>
          <w:sz w:val="20"/>
          <w:szCs w:val="20"/>
        </w:rPr>
        <w:t xml:space="preserve">DESIGN RULE: </w:t>
      </w:r>
      <w:r>
        <w:rPr>
          <w:rFonts w:ascii="Arial" w:cs="Arial" w:eastAsia="Arial" w:hAnsi="Arial"/>
          <w:sz w:val="20"/>
          <w:szCs w:val="20"/>
        </w:rPr>
        <w:t xml:space="preserve">No if/else on market in engine code. No market-specific Go files. No duplicated Flink jobs. The market shim is a YAML/JSON configuration bundle selected at deployment time and injected via Kubernetes ConfigMaps or AWS Parameter Store. One Docker image per service. One codebase. Market-specific behavior comes entirely from configuration.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Precedents Already in V3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000"/>
        <w:gridCol w:w="64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V3 Pattern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It Works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Market Shim Extension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Protocol Templates (GLYC-1, HTN-1)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Loaded from protocol_registry.go at startup. Different drug sequences, same V-MCU engine.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Pharmacotherapy shim: formulary, cost barriers, drug name mappings loaded per market.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Channel B/C Rules (protocol_rules.yaml)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YAML-driven rules, same guard.go evaluator. Different thresholds per protocol.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Clinical parameter set: BP targets, BMI thresholds, CV risk calculator loaded per market.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Clinical Content Service :8135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Serves regionalized content (5 Indian regions, 7 languages). Versioned delta bundles.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Food database adapter + localization bundle: market-specific food catalogs, languages, cultural calendars.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KB-21 5-Region Segmentation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Regional dietary patterns for behavioral recommendations.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Extended to market-level: Indian regions + Australian cuisine groups.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PREVENT Calculator (4 model variants)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SBP target 120/130 selected by PREVENT tier.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CV risk calculator selection: PREVENT vs PCE-ASCVD per market.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Configuration Resolution Hierarchy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Parameters resolve in order of specificity. Most specific wins.</w:t>
      </w:r>
    </w:p>
    <w:p>
      <w:pPr>
        <w:spacing w:after="20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Market default</w:t>
      </w:r>
      <w:r>
        <w:rPr>
          <w:rFonts w:ascii="Arial" w:cs="Arial" w:eastAsia="Arial" w:hAnsi="Arial"/>
          <w:sz w:val="20"/>
          <w:szCs w:val="20"/>
        </w:rPr>
        <w:t xml:space="preserve"> (India / Australia)</w:t>
      </w:r>
      <w:r>
        <w:rPr>
          <w:rFonts w:ascii="Arial" w:cs="Arial" w:eastAsia="Arial" w:hAnsi="Arial"/>
          <w:color w:val="2E75B6"/>
          <w:sz w:val="20"/>
          <w:szCs w:val="20"/>
        </w:rPr>
        <w:t xml:space="preserve">  →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Channel override</w:t>
      </w:r>
      <w:r>
        <w:rPr>
          <w:rFonts w:ascii="Arial" w:cs="Arial" w:eastAsia="Arial" w:hAnsi="Arial"/>
          <w:sz w:val="20"/>
          <w:szCs w:val="20"/>
        </w:rPr>
        <w:t xml:space="preserve"> (ACCHS overrides AU defaults)</w:t>
      </w:r>
      <w:r>
        <w:rPr>
          <w:rFonts w:ascii="Arial" w:cs="Arial" w:eastAsia="Arial" w:hAnsi="Arial"/>
          <w:color w:val="2E75B6"/>
          <w:sz w:val="20"/>
          <w:szCs w:val="20"/>
        </w:rPr>
        <w:t xml:space="preserve">  →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Protocol override</w:t>
      </w:r>
      <w:r>
        <w:rPr>
          <w:rFonts w:ascii="Arial" w:cs="Arial" w:eastAsia="Arial" w:hAnsi="Arial"/>
          <w:sz w:val="20"/>
          <w:szCs w:val="20"/>
        </w:rPr>
        <w:t xml:space="preserve"> (RENAL-1 overrides SBP target)</w:t>
      </w:r>
      <w:r>
        <w:rPr>
          <w:rFonts w:ascii="Arial" w:cs="Arial" w:eastAsia="Arial" w:hAnsi="Arial"/>
          <w:color w:val="2E75B6"/>
          <w:sz w:val="20"/>
          <w:szCs w:val="20"/>
        </w:rPr>
        <w:t xml:space="preserve">  →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Patient-level override</w:t>
      </w:r>
      <w:r>
        <w:rPr>
          <w:rFonts w:ascii="Arial" w:cs="Arial" w:eastAsia="Arial" w:hAnsi="Arial"/>
          <w:sz w:val="20"/>
          <w:szCs w:val="20"/>
        </w:rPr>
        <w:t xml:space="preserve"> (physician sets custom target)</w:t>
      </w:r>
    </w:p>
    <w:p>
      <w:pPr>
        <w:pBdr>
          <w:left w:val="single" w:color="2E75B6" w:sz="6" w:space="8"/>
        </w:pBdr>
        <w:spacing w:after="120"/>
        <w:ind w:left="2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This is the same precedence pattern as Channel B/C rule evaluation: more specific rules override general ones. The market shim is the outermost ring. A physician can always override a market default for an individual patient.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2. The Seven Shim Components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Component 1: Food Composition Database Adapter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The MealResponseCorrelator and MealPatternAggregator call a food lookup service to resolve food_id to nutrient values. The adapter interface is market-independent. The backing database is market-specific.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Interface</w:t>
      </w:r>
    </w:p>
    <w:p>
      <w:pPr>
        <w:spacing w:after="1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foodLookup.getNutrients(food_id) → { carb_g, protein_g, fat_g, fiber_g, sodium_mg, potassium_mg, gi_estimate, gl_per_serving, serving_size_g }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Market Configuration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740"/>
        <w:gridCol w:w="574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5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India</w:t>
            </w:r>
          </w:p>
        </w:tc>
        <w:tc>
          <w:tcPr>
            <w:tcW w:type="dxa" w:w="5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Australia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Primary food database</w:t>
            </w:r>
          </w:p>
        </w:tc>
        <w:tc>
          <w:tcPr>
            <w:tcW w:type="dxa" w:w="5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IFCT 2017 (528 raw foods, 151 nutrients, sodium included). Source: ICMR-NIN Hyderabad.</w:t>
            </w:r>
          </w:p>
        </w:tc>
        <w:tc>
          <w:tcPr>
            <w:tcW w:type="dxa" w:w="5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AUSNUT 2011-13 (5,740 foods including Australian processed foods, restaurant items). Source: FSANZ.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Recipe database</w:t>
            </w:r>
          </w:p>
        </w:tc>
        <w:tc>
          <w:tcPr>
            <w:tcW w:type="dxa" w:w="5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INDB (1,014 Indian recipes with ingredient decomposition mapped to IFCT codes). Open-source.</w:t>
            </w:r>
          </w:p>
        </w:tc>
        <w:tc>
          <w:tcPr>
            <w:tcW w:type="dxa" w:w="5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AUSNUT includes composite dishes. Supplemented by Vaidshala AU recipe catalog for multicultural dishes.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Supplementary database</w:t>
            </w:r>
          </w:p>
        </w:tc>
        <w:tc>
          <w:tcPr>
            <w:tcW w:type="dxa" w:w="5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None needed (IFCT covers Indian foods comprehensively).</w:t>
            </w:r>
          </w:p>
        </w:tc>
        <w:tc>
          <w:tcPr>
            <w:tcW w:type="dxa" w:w="5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IFCT 2017 (supplementary for South Asian traditional foods not in AUSNUT: specific dals, regional preparations, festival foods).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Quick-log catalog regions</w:t>
            </w:r>
          </w:p>
        </w:tc>
        <w:tc>
          <w:tcPr>
            <w:tcW w:type="dxa" w:w="5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5 regions: South Indian, North Indian, East Indian, West Indian, Central Indian. ~300 items.</w:t>
            </w:r>
          </w:p>
        </w:tc>
        <w:tc>
          <w:tcPr>
            <w:tcW w:type="dxa" w:w="5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6 cuisine groups: South Asian Traditional, East Asian, Mediterranean, Standard Australian, Fast Food/Takeaway, Indigenous. ~400 items.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Sodium data source</w:t>
            </w:r>
          </w:p>
        </w:tc>
        <w:tc>
          <w:tcPr>
            <w:tcW w:type="dxa" w:w="5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IFCT intrinsic sodium + added salt slider (LOW=200/NORMAL=600/EXTRA=1200/RESTAURANT=1000 mg per serving).</w:t>
            </w:r>
          </w:p>
        </w:tc>
        <w:tc>
          <w:tcPr>
            <w:tcW w:type="dxa" w:w="5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AUSNUT sodium (includes processing sodium for packaged foods) + added salt slider (LOW=150/NORMAL=450/EXTRA=900/RESTAURANT=800 mg). Australian processed foods have mandatory nutrition labelling — patients can enter sodium from pack label directly.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Food ID namespace</w:t>
            </w:r>
          </w:p>
        </w:tc>
        <w:tc>
          <w:tcPr>
            <w:tcW w:type="dxa" w:w="5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IFCT_[group][number] (e.g., IFCT_A001), INDB_R[number] (e.g., INDB_R042), CUSTOM_[number]</w:t>
            </w:r>
          </w:p>
        </w:tc>
        <w:tc>
          <w:tcPr>
            <w:tcW w:type="dxa" w:w="5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AUSNUT_[8-digit code] (e.g., AUSNUT_10A10025), IFCT_[code] (supplementary), CUSTOM_[number]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GI data source</w:t>
            </w:r>
          </w:p>
        </w:tc>
        <w:tc>
          <w:tcPr>
            <w:tcW w:type="dxa" w:w="5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NIN 2024 Dietary Guidelines + published Indian GI studies (Madras Diabetes Research Foundation). ~120 foods with measured GI.</w:t>
            </w:r>
          </w:p>
        </w:tc>
        <w:tc>
          <w:tcPr>
            <w:tcW w:type="dxa" w:w="5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University of Sydney GI database (glycemicindex.com) + AUSNUT. ~2,500 foods with measured GI. Significantly more comprehensive than India.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Serving size standard</w:t>
            </w:r>
          </w:p>
        </w:tc>
        <w:tc>
          <w:tcPr>
            <w:tcW w:type="dxa" w:w="5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Katori (~150ml), roti (1 piece ~30g), cup rice (~180g cooked). 8 visual portion units.</w:t>
            </w:r>
          </w:p>
        </w:tc>
        <w:tc>
          <w:tcPr>
            <w:tcW w:type="dxa" w:w="5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Standard serve per Australian Dietary Guidelines + visual portion guides. Cup (~250ml AU standard), slice, piece. 10 visual portion units.</w:t>
            </w:r>
          </w:p>
        </w:tc>
      </w:tr>
    </w:tbl>
    <w:p>
      <w:pPr>
        <w:pBdr>
          <w:left w:val="single" w:color="2E75B6" w:sz="6" w:space="8"/>
        </w:pBdr>
        <w:spacing w:after="120"/>
        <w:ind w:left="2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The food_id namespace encoding means the MealResponseCorrelator never needs to know which database answered. It calls foodLookup.getNutrients('AUSNUT_10A10025') or foodLookup.getNutrients('IFCT_A001') — the adapter resolves the prefix to the correct backing database. For CUSTOM_ entries, the app captures patient-estimated macros directly.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Component 2: Clinical Parameter Set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Numeric thresholds and targets that vary by population. Loaded from market-specific YAML at service startup. Injected into KB-20 projections, V-MCU evaluation, KB-23 Decision Card generation, and Flink variability threshold comparison.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clinical_params.yaml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1400"/>
        <w:gridCol w:w="1600"/>
        <w:gridCol w:w="2000"/>
        <w:gridCol w:w="508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YAML Key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India Default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Australia Default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 Indigenous Override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Consumer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BMI overweight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bmi_overweight_threshold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23.0 (South Asian WHO)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25.0 (WHO standard)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23.0 (central adiposity pattern)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KB-20 projection, CDI metabolic domain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BMI obese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bmi_obese_threshold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25.0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30.0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27.5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KB-20, MHRI metabolic component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Waist elevated (M)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waist_elevated_male_cm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90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94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94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M3-VFRP trigger, CDI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Waist elevated (F)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waist_elevated_female_cm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80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80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80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M3-VFRP trigger, CDI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SBP target (&lt;65 yrs, no CKD)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sbp_target_default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130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130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140 (higher CKD prevalence)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V-MCU HTN-1 evaluation, PG-20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SBP target (≥75 yrs)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sbp_target_elderly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140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140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150 (frailty consideration)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DEPRESC-1, PG-20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HbA1c target (default)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hba1c_target_default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7.0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7.0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7.0 (individualised per NACCHO)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V-MCU GLYC-1 evaluation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HbA1c target (elderly/frail)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hba1c_target_elderly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8.0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8.0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8.5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DEPRESC-1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CV risk calculator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cv_risk_calculator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PREVENT_AHA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PCE_ASCVD (validated for AU)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PCE_ASCVD_INDIGENOUS_CAL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PREVENT Calculator in KB-20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CV risk high threshold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cv_risk_high_10yr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0.20 (20%)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0.15 (15%, RACGP)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0.10 (10%, earlier intervention)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PG-22, LIPID-1 statin review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Added salt NORMAL (mg Na)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added_salt_normal_mg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600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450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500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Meal event sodium estimation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Added salt EXTRA (mg Na)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added_salt_extra_mg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1200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900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1000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Meal event sodium estimation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Protein target (g/kg/day)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protein_target_gkg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0.8-1.2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0.8-1.2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0.8-1.0 (CKD-adjusted)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M3-PRP protocol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ARV elevated threshold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arv_elevated_mmhg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12.0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12.0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12.0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BP Variability Engine (physiology-based, market-independent)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Morning surge elevated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surge_elevated_mmhg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25.0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25.0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25.0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BP Variability Engine (same)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eGFR rapid decline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egfr_rapid_decline_per_yr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-5.0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-5.0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-3.0 (earlier flag for high-risk pop)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eGFR trajectory, RENAL-1</w:t>
            </w:r>
          </w:p>
        </w:tc>
      </w:tr>
    </w:tbl>
    <w:p>
      <w:pPr>
        <w:pBdr>
          <w:left w:val="single" w:color="C62828" w:sz="6" w:space="8"/>
        </w:pBdr>
        <w:spacing w:after="200" w:before="200"/>
        <w:ind w:left="240"/>
      </w:pPr>
      <w:r>
        <w:rPr>
          <w:rFonts w:ascii="Arial" w:cs="Arial" w:eastAsia="Arial" w:hAnsi="Arial"/>
          <w:b/>
          <w:bCs/>
          <w:color w:val="C62828"/>
          <w:sz w:val="20"/>
          <w:szCs w:val="20"/>
        </w:rPr>
        <w:t xml:space="preserve">DESIGN RULE: </w:t>
      </w:r>
      <w:r>
        <w:rPr>
          <w:rFonts w:ascii="Arial" w:cs="Arial" w:eastAsia="Arial" w:hAnsi="Arial"/>
          <w:sz w:val="20"/>
          <w:szCs w:val="20"/>
        </w:rPr>
        <w:t xml:space="preserve">ARV thresholds, morning surge thresholds, and dipping pattern definitions are physiology-based, not population-based. They are the SAME across all markets. Do not market-shim them. Only population-specific metabolic thresholds (BMI, waist, SBP targets, eGFR decline rates) and dietary parameters (salt estimates, protein targets) vary.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Component 3: Pharmacotherapy Shim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The four-pillar drug classes are clinically universal. What changes: cost accessibility, formulary availability, brand names, and deprescribing guidelines.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pharma_shim.yaml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640"/>
        <w:gridCol w:w="464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YAML Key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India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Australia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GLP-1RA affordable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glp1ra_affordable.[channel]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CORPORATE: true, INSURANCE: marginal (₹8-15K/mo), GOVERNMENT: false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All channels: true (PBS-listed, co-pay AUD $7.70-$31.60)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SGLT2i available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sglt2i_available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true (generic empagliflozin, dapagliflozin available)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true (PBS-listed: Jardiance, Forxiga)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Finerenone available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finerenone_available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Limited (not widely stocked, specialist-initiated)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true (PBS-listed since 2023 for T2DM + CKD with albuminuria)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Metformin max dose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metformin_max_mg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2000 (common Indian practice)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2000 (RACGP guideline) or 2550 (some specialists)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Drug name mapping file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drug_names_file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drug_names_india.yaml (Glycomet, Telma, Amaryl, Jalra, etc.)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drug_names_australia.yaml (Diabex, Micardis, Amaryl, Galvus, etc.)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Formulary constraint source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formulary_source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IHCI state protocols (per-state YAML loaded by protocol_constraint field)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PBS Schedule + RACGP Type 2 Diabetes Handbook 2020 + Therapeutic Guidelines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Deprescribing reference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deprescribing_guide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DEPRESC-1 protocol (built)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DEPRESC-1 + NPS MedicineWise Australian Deprescribing Network guidelines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Insulin initiation authority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insulin_init_authority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Any physician (common in India)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GP can initiate (but often deferred to endocrinologist/diabetes educator)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PBS authority required drugs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authority_required_drugs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N/A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[semaglutide, dulaglutide, finerenone, canagliflozin_ckd] — Decision Card notes 'PBS authority required' for these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Cost barrier rejection reason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cost_barrier_relevance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HIGH (major factor in government + insurance channels)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LOW (PBS covers most cardiometabolic drugs). Still relevant for non-PBS items and gap payments.</w:t>
            </w:r>
          </w:p>
        </w:tc>
      </w:tr>
    </w:tbl>
    <w:p>
      <w:pPr>
        <w:pBdr>
          <w:left w:val="single" w:color="2E75B6" w:sz="6" w:space="8"/>
        </w:pBdr>
        <w:spacing w:after="120"/>
        <w:ind w:left="2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The GLYC-1 protocol template evaluates pharmacoShim.isAffordable('GLP1RA', patient.channel). In India/GOVERNMENT this returns false, suppressing GLP-1RA recommendations and favouring DPP-4i instead. In Australia/GP_PRIMARY this returns true, enabling GLP-1RA as a standard option. The protocol logic is identical — the cost data changes.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2.4 Component 4: Health Record Integration Adapter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Both India (ABDM) and Australia (My Health Record) use FHIR R4. The adapter interface is identical. The API endpoints, authentication, and consent models differ.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Interface (market-independent)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healthRecordAdapter.fetchPatientHistory(patient_id) → FHIR Bundle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healthRecordAdapter.publishObservation(patient_id, observation) → success/failure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healthRecordAdapter.checkConsent(patient_id, data_type) → GRANTED / DENIED / RESTRICTED</w:t>
      </w:r>
    </w:p>
    <w:p>
      <w:pPr>
        <w:spacing w:after="16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healthRecordAdapter.getPatientIdentifier(patient_id) → national_id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Market Configuration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740"/>
        <w:gridCol w:w="574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5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India (ABDM)</w:t>
            </w:r>
          </w:p>
        </w:tc>
        <w:tc>
          <w:tcPr>
            <w:tcW w:type="dxa" w:w="5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Australia (My Health Record)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National ID type</w:t>
            </w:r>
          </w:p>
        </w:tc>
        <w:tc>
          <w:tcPr>
            <w:tcW w:type="dxa" w:w="5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ABHA (Ayushman Bharat Health Account) — 14-digit number</w:t>
            </w:r>
          </w:p>
        </w:tc>
        <w:tc>
          <w:tcPr>
            <w:tcW w:type="dxa" w:w="5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IHI (Individual Healthcare Identifier) — 16-digit number via Healthcare Identifiers Service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FHIR API endpoint</w:t>
            </w:r>
          </w:p>
        </w:tc>
        <w:tc>
          <w:tcPr>
            <w:tcW w:type="dxa" w:w="5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ABDM Gateway (health information exchange via consent manager)</w:t>
            </w:r>
          </w:p>
        </w:tc>
        <w:tc>
          <w:tcPr>
            <w:tcW w:type="dxa" w:w="5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My Health Record FHIR Gateway (via Australian Digital Health Agency)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5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ABDM OAuth2 token + digital signature (ABDM sandbox for dev)</w:t>
            </w:r>
          </w:p>
        </w:tc>
        <w:tc>
          <w:tcPr>
            <w:tcW w:type="dxa" w:w="5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NASH (National Authentication Service for Health) PKI certificates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Consent model</w:t>
            </w:r>
          </w:p>
        </w:tc>
        <w:tc>
          <w:tcPr>
            <w:tcW w:type="dxa" w:w="5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Purpose-specific, time-bounded consent via ABDM consent manager. Patient approves each data request.</w:t>
            </w:r>
          </w:p>
        </w:tc>
        <w:tc>
          <w:tcPr>
            <w:tcW w:type="dxa" w:w="5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Opt-out model (most Australians have MHR by default). Patient can restrict access to specific documents or providers via MHR controls.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Document types received</w:t>
            </w:r>
          </w:p>
        </w:tc>
        <w:tc>
          <w:tcPr>
            <w:tcW w:type="dxa" w:w="5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OPConsultRecords, DischargeSummaries, DiagnosticReports, Prescriptions (FHIR Bundles)</w:t>
            </w:r>
          </w:p>
        </w:tc>
        <w:tc>
          <w:tcPr>
            <w:tcW w:type="dxa" w:w="5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Shared Health Summary, Event Summary, Discharge Summary, Pathology Report, Diagnostic Imaging Report, Prescription Record (FHIR R4)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Kafka topic</w:t>
            </w:r>
          </w:p>
        </w:tc>
        <w:tc>
          <w:tcPr>
            <w:tcW w:type="dxa" w:w="5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ingestion.national-health-records (renamed from ingestion.abdm-records)</w:t>
            </w:r>
          </w:p>
        </w:tc>
        <w:tc>
          <w:tcPr>
            <w:tcW w:type="dxa" w:w="5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ingestion.national-health-records (same topic, source_system field = MHR)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Offline fallback</w:t>
            </w:r>
          </w:p>
        </w:tc>
        <w:tc>
          <w:tcPr>
            <w:tcW w:type="dxa" w:w="5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Required (intermittent connectivity in Tier 2/3 India)</w:t>
            </w:r>
          </w:p>
        </w:tc>
        <w:tc>
          <w:tcPr>
            <w:tcW w:type="dxa" w:w="5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typically needed (reliable connectivity in Australia). Exception: remote Indigenous communities.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2.5 Component 5: Channel Definition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Channels define the care delivery model, data tier, care team composition, and integration points. Loaded from channels.yaml per market.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India channels.yaml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000"/>
        <w:gridCol w:w="1000"/>
        <w:gridCol w:w="2400"/>
        <w:gridCol w:w="2200"/>
        <w:gridCol w:w="428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Tier Default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CGM Subsidy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Cuffless Eligible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Care Team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Protocol Source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CORPORATE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TIER_1 (full CGM)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Employer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Future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Physician, health coach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Direct enrollment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GLYC-1/HTN-1 standard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INSURANCE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TIER_2 (hybrid)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Partial (insurer)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Future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Physician, pharmacist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Insurance partner API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GLYC-1/HTN-1 standard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GOVERNMENT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TIER_3 (SMBG only)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Medical officer, ASHA worker, staff nurse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IHCI Simple app sync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IHCI state protocols (per-state YAML)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Australia channels.yaml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1100"/>
        <w:gridCol w:w="900"/>
        <w:gridCol w:w="2000"/>
        <w:gridCol w:w="2000"/>
        <w:gridCol w:w="1400"/>
        <w:gridCol w:w="1600"/>
        <w:gridCol w:w="228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Tier Default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CGM Subsidy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Cuffless Eligible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Care Team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Protocol Source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Clinical Params Override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GP_PRIMARY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TIER_2 (hybrid via NDSS CGM access)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NDSS (National Diabetes Services Scheme)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 (if patient purchases)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GP, practice nurse, diabetes educator, dietitian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 clinical system (Best Practice / Medical Director) via FHIR adapter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PBS + RACGP guidelines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None (market default)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PRIVATE_INSURANCE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TIER_1 (full CGM, insurer-funded)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Private insurer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 (insurer may fund)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Specialist endocrinologist, GP, dietitian, exercise physiologist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Private health insurer API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PBS + Therapeutic Guidelines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CORPORATE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TIER_1 (employer wellness program)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Employer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 (employer-provided)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GP, health coach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Corporate wellness platform API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PBS + RACGP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ACCHS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TIER_3 (SMBG, facility BP)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NDSS CTG (Closing the Gap)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(cost/infrastructure barrier)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GP, Indigenous health worker, nurse, Aboriginal health practitioner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ACCHS clinical system + My Health Record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PBS + NACCHO guidelines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clinical_params_indigenous.yaml</w:t>
            </w:r>
          </w:p>
        </w:tc>
      </w:tr>
    </w:tbl>
    <w:p>
      <w:pPr>
        <w:pBdr>
          <w:left w:val="single" w:color="2E75B6" w:sz="6" w:space="8"/>
        </w:pBdr>
        <w:spacing w:after="120"/>
        <w:ind w:left="2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The ACCHS channel loads clinical_params_indigenous.yaml which overrides: BMI thresholds (23.0/27.5), SBP target (140 default, 150 elderly), eGFR rapid decline threshold (-3.0/yr instead of -5.0/yr for earlier flagging). The V-MCU engine reads from KB-20 projection which already reflects these overrides. No engine code change.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2.6 Component 6: Regulatory Compliance Configuration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4740"/>
        <w:gridCol w:w="474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YAML Key</w:t>
            </w:r>
          </w:p>
        </w:tc>
        <w:tc>
          <w:tcPr>
            <w:tcW w:type="dxa" w:w="4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India</w:t>
            </w:r>
          </w:p>
        </w:tc>
        <w:tc>
          <w:tcPr>
            <w:tcW w:type="dxa" w:w="4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Australia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AWS region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aws_region</w:t>
            </w:r>
          </w:p>
        </w:tc>
        <w:tc>
          <w:tcPr>
            <w:tcW w:type="dxa" w:w="4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ap-south-1 (Mumbai)</w:t>
            </w:r>
          </w:p>
        </w:tc>
        <w:tc>
          <w:tcPr>
            <w:tcW w:type="dxa" w:w="4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ap-southeast-2 (Sydney)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sovereignty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data_sovereignty</w:t>
            </w:r>
          </w:p>
        </w:tc>
        <w:tc>
          <w:tcPr>
            <w:tcW w:type="dxa" w:w="4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patient data in ap-south-1. No cross-region transfer.</w:t>
            </w:r>
          </w:p>
        </w:tc>
        <w:tc>
          <w:tcPr>
            <w:tcW w:type="dxa" w:w="4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patient data in ap-southeast-2. No offshore transfer without explicit consent.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SaMD classification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samd_class</w:t>
            </w:r>
          </w:p>
        </w:tc>
        <w:tc>
          <w:tcPr>
            <w:tcW w:type="dxa" w:w="4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Emerging (CDSCO SaMD framework in development)</w:t>
            </w:r>
          </w:p>
        </w:tc>
        <w:tc>
          <w:tcPr>
            <w:tcW w:type="dxa" w:w="4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TGA Class IIa (CDSS providing treatment recommendations to physicians). ARTG registration required.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SaMD regulatory body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regulatory_body</w:t>
            </w:r>
          </w:p>
        </w:tc>
        <w:tc>
          <w:tcPr>
            <w:tcW w:type="dxa" w:w="4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CDSCO</w:t>
            </w:r>
          </w:p>
        </w:tc>
        <w:tc>
          <w:tcPr>
            <w:tcW w:type="dxa" w:w="4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TGA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Audit trail retention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audit_retention_days</w:t>
            </w:r>
          </w:p>
        </w:tc>
        <w:tc>
          <w:tcPr>
            <w:tcW w:type="dxa" w:w="4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2555 (7 years, MCI guideline)</w:t>
            </w:r>
          </w:p>
        </w:tc>
        <w:tc>
          <w:tcPr>
            <w:tcW w:type="dxa" w:w="4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2555 (7 years, Privacy Act)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Breach notification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breach_notify_authority</w:t>
            </w:r>
          </w:p>
        </w:tc>
        <w:tc>
          <w:tcPr>
            <w:tcW w:type="dxa" w:w="4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DPA (Data Protection Authority) under DPDPA 2023</w:t>
            </w:r>
          </w:p>
        </w:tc>
        <w:tc>
          <w:tcPr>
            <w:tcW w:type="dxa" w:w="4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OAIC (Office of Australian Information Commissioner) within 30 days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Clinical evidence standard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clinical_evidence</w:t>
            </w:r>
          </w:p>
        </w:tc>
        <w:tc>
          <w:tcPr>
            <w:tcW w:type="dxa" w:w="4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formal requirement yet for SaMD</w:t>
            </w:r>
          </w:p>
        </w:tc>
        <w:tc>
          <w:tcPr>
            <w:tcW w:type="dxa" w:w="4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TGA Essential Principles: safety, quality, performance. SafetyTrace + 125-scenario simulation as evidence.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 consent framework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consent_framework</w:t>
            </w:r>
          </w:p>
        </w:tc>
        <w:tc>
          <w:tcPr>
            <w:tcW w:type="dxa" w:w="4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ABDM consent manager (purpose-specific, time-bounded)</w:t>
            </w:r>
          </w:p>
        </w:tc>
        <w:tc>
          <w:tcPr>
            <w:tcW w:type="dxa" w:w="4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Privacy Act + My Health Records Act. Opt-out MHR. Patient controls access restrictions.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Autonomous mode constraints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autonomous_threshold</w:t>
            </w:r>
          </w:p>
        </w:tc>
        <w:tc>
          <w:tcPr>
            <w:tcW w:type="dxa" w:w="4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&gt;90% physician agreement over 30 consecutive days (V3 spec)</w:t>
            </w:r>
          </w:p>
        </w:tc>
        <w:tc>
          <w:tcPr>
            <w:tcW w:type="dxa" w:w="4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permitted under initial TGA Class IIa classification. Requires separate regulatory assessment. May need Class IIb/III reclassification.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Deterministic-only boundary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deterministic_boundary</w:t>
            </w:r>
          </w:p>
        </w:tc>
        <w:tc>
          <w:tcPr>
            <w:tcW w:type="dxa" w:w="4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Design principle (no regulatory mandate yet)</w:t>
            </w:r>
          </w:p>
        </w:tc>
        <w:tc>
          <w:tcPr>
            <w:tcW w:type="dxa" w:w="4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Regulatory ASSET: TGA requires demonstrable safety for AI/ML SaMD. Deterministic code with auditable traces is significantly easier to demonstrate than black-box ML.</w:t>
            </w:r>
          </w:p>
        </w:tc>
      </w:tr>
    </w:tbl>
    <w:p>
      <w:pPr>
        <w:pBdr>
          <w:left w:val="single" w:color="C62828" w:sz="6" w:space="8"/>
        </w:pBdr>
        <w:spacing w:after="200" w:before="200"/>
        <w:ind w:left="240"/>
      </w:pPr>
      <w:r>
        <w:rPr>
          <w:rFonts w:ascii="Arial" w:cs="Arial" w:eastAsia="Arial" w:hAnsi="Arial"/>
          <w:b/>
          <w:bCs/>
          <w:color w:val="C62828"/>
          <w:sz w:val="20"/>
          <w:szCs w:val="20"/>
        </w:rPr>
        <w:t xml:space="preserve">DESIGN RULE: </w:t>
      </w:r>
      <w:r>
        <w:rPr>
          <w:rFonts w:ascii="Arial" w:cs="Arial" w:eastAsia="Arial" w:hAnsi="Arial"/>
          <w:sz w:val="20"/>
          <w:szCs w:val="20"/>
        </w:rPr>
        <w:t xml:space="preserve">The autonomous mode threshold (“&gt;90% physician agreement”) is an India-specific configuration. For Australia, autonomous medication dose changes are NOT permitted under initial TGA classification without a separate regulatory pathway. The autonomous_threshold field in the Australian config is set to DISABLED. The V-MCU checks this config before applying autonomous actions — in Australia, it always requires PHYSICIAN_CONFIRM regardless of agreement rate history.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2.7 Component 7: Localization Bundle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740"/>
        <w:gridCol w:w="574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5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India</w:t>
            </w:r>
          </w:p>
        </w:tc>
        <w:tc>
          <w:tcPr>
            <w:tcW w:type="dxa" w:w="5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Australia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Languages</w:t>
            </w:r>
          </w:p>
        </w:tc>
        <w:tc>
          <w:tcPr>
            <w:tcW w:type="dxa" w:w="5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Hindi (primary), English, Tamil, Telugu, Kannada, Bengali, Marathi. Phase 1: Hindi + English. Phase 3: regional.</w:t>
            </w:r>
          </w:p>
        </w:tc>
        <w:tc>
          <w:tcPr>
            <w:tcW w:type="dxa" w:w="5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English (primary). Simplified English + visual guides for low-literacy/ESL populations. Future: Hindi, Mandarin, Arabic, Vietnamese for multicultural communities.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Food catalog regions</w:t>
            </w:r>
          </w:p>
        </w:tc>
        <w:tc>
          <w:tcPr>
            <w:tcW w:type="dxa" w:w="5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South Indian, North Indian, East Indian, West Indian, Central Indian</w:t>
            </w:r>
          </w:p>
        </w:tc>
        <w:tc>
          <w:tcPr>
            <w:tcW w:type="dxa" w:w="5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South Asian Traditional, East Asian, Mediterranean, Standard Australian, Fast Food/Takeaway, Indigenous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Cultural calendar</w:t>
            </w:r>
          </w:p>
        </w:tc>
        <w:tc>
          <w:tcPr>
            <w:tcW w:type="dxa" w:w="5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Diwali, Navratri, Ramadan, Eid, Onam, Pongal, Holi, Ganesh Chaturthi, Eid-ul-Adha, Christmas. Perturbation suppression during fasting periods.</w:t>
            </w:r>
          </w:p>
        </w:tc>
        <w:tc>
          <w:tcPr>
            <w:tcW w:type="dxa" w:w="5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Ramadan (Muslim Australians), Diwali (South Asian Australians), Chinese New Year, Lunar New Year (Vietnamese/Korean), Christmas/Easter, NAIDOC Week. Same perturbation suppression logic.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Care team terminology</w:t>
            </w:r>
          </w:p>
        </w:tc>
        <w:tc>
          <w:tcPr>
            <w:tcW w:type="dxa" w:w="5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ASHA worker, medical officer, staff nurse, pharmacist</w:t>
            </w:r>
          </w:p>
        </w:tc>
        <w:tc>
          <w:tcPr>
            <w:tcW w:type="dxa" w:w="5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Indigenous health worker, GP, practice nurse, diabetes educator, dietitian, Aboriginal health practitioner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Decision Card language</w:t>
            </w:r>
          </w:p>
        </w:tc>
        <w:tc>
          <w:tcPr>
            <w:tcW w:type="dxa" w:w="5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Clinical terminology appropriate for Indian physicians (MO, specialist)</w:t>
            </w:r>
          </w:p>
        </w:tc>
        <w:tc>
          <w:tcPr>
            <w:tcW w:type="dxa" w:w="5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Clinical terminology per RACGP standards. MBS item numbers for billing. PBS authority notes.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 app tone</w:t>
            </w:r>
          </w:p>
        </w:tc>
        <w:tc>
          <w:tcPr>
            <w:tcW w:type="dxa" w:w="5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Respectful, family-aware (‘discuss with your family’), community-oriented</w:t>
            </w:r>
          </w:p>
        </w:tc>
        <w:tc>
          <w:tcPr>
            <w:tcW w:type="dxa" w:w="5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Individual autonomy-oriented, health literacy appropriate, culturally sensitive for diverse backgrounds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Measurement units</w:t>
            </w:r>
          </w:p>
        </w:tc>
        <w:tc>
          <w:tcPr>
            <w:tcW w:type="dxa" w:w="5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mmol/L (glucose), cm (waist), kg (weight), mmHg (BP)</w:t>
            </w:r>
          </w:p>
        </w:tc>
        <w:tc>
          <w:tcPr>
            <w:tcW w:type="dxa" w:w="5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mmol/L (glucose), cm (waist), kg (weight), mmHg (BP) — same units, no conversion needed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Medication reminder timing</w:t>
            </w:r>
          </w:p>
        </w:tc>
        <w:tc>
          <w:tcPr>
            <w:tcW w:type="dxa" w:w="5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Aligned with typical Indian meal timing: 7-8 AM breakfast, 1-2 PM lunch, 8-9 PM dinner</w:t>
            </w:r>
          </w:p>
        </w:tc>
        <w:tc>
          <w:tcPr>
            <w:tcW w:type="dxa" w:w="5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Aligned with Australian meal timing: 7-8 AM breakfast, 12-1 PM lunch, 6-7 PM dinner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3. Deployment Model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Directory Structure</w:t>
      </w:r>
    </w:p>
    <w:p>
      <w:pPr>
        <w:spacing w:after="200"/>
        <w:ind w:left="360"/>
      </w:pPr>
      <w:r>
        <w:rPr>
          <w:rFonts w:ascii="Courier New" w:cs="Courier New" w:eastAsia="Courier New" w:hAnsi="Courier New"/>
          <w:sz w:val="17"/>
          <w:szCs w:val="17"/>
        </w:rPr>
        <w:t xml:space="preserve">deploy/markets/india/  →  clinical_params.yaml, channels.yaml, pharma_shim.yaml, food_db_config.yaml, health_record_adapter.yaml, compliance.yaml, localization/
deploy/markets/australia/  →  clinical_params.yaml, channels.yaml, pharma_shim.yaml, food_db_config.yaml, health_record_adapter.yaml, compliance.yaml, clinical_params_indigenous.yaml, localization/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CI/CD Pipeline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000"/>
        <w:gridCol w:w="428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Market-Specific?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One Docker image per service (ingestion, kb-20, v-mcu, flink-bp-variability, flink-meal-response, etc.)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— same image for all markets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Unit tests run against all market configurations. Each market’s YAML is loaded and validated. 125 V-MCU simulation scenarios run per market.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 — tests parameterized by market. Same test code, different config input.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Deploy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Kubernetes deployment selects market via ConfigMap. Helm values file points to deploy/markets/[market]/. AWS Parameter Store loads compliance config.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 — deployment target determines which config is mounted.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Food DB seed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Market-specific food database tables loaded into lookup service. IFCT tables for India. AUSNUT tables for Australia.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 — database seeding is market-specific.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Validate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Post-deployment smoke tests: create test patient, submit glucose reading, verify trajectory computation, verify Decision Card generation, verify compliance with market-specific thresholds.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 — smoke test expectations differ by market (e.g., expected SBP target).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Multi-Market Operation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India and Australia run as completely separate deployments in different AWS regions (ap-south-1 and ap-southeast-2). They share no data, no Kafka clusters, no databases. The only shared artifacts are: the Docker images (identical binaries), the Helm chart templates (parameterized), and the codebase (one repository).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This is NOT a multi-tenant architecture within a single deployment. It is a single-product, multi-deployment architecture. Each deployment is fully isolated. This satisfies both Indian DPDPA and Australian Privacy Act data sovereignty requirements without any cross-border data flow.</w:t>
      </w:r>
    </w:p>
    <w:p>
      <w:pPr>
        <w:pBdr>
          <w:left w:val="single" w:color="2E75B6" w:sz="6" w:space="8"/>
        </w:pBdr>
        <w:spacing w:after="120"/>
        <w:ind w:left="2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Future consideration: when phenotype clustering produces Indian-specific metabolic phenotypes, should those phenotype definitions (not patient data) be shared with the Australian deployment for South Asian diaspora patients? This is a model transfer question, not a data transfer question. Phenotype cluster centroids are statistical summaries with no patient-identifiable information. They can be exported as a configuration file and loaded into the Australian deployment’s phenotype matcher. This requires a governance decision, not an engineering change.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4. How Deep Dives Reference the Market Shim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Each deep dive is written as a market-independent specification. At specific configuration points, the document references a shim component rather than hardcoding a value.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Deep Dive #1 (BP Variability Engine) — Configuration Points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400"/>
        <w:gridCol w:w="448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Hardcoded in Deep Dive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Should Reference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Shim Component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SBP target comparison (130 mmHg)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clinicalParams.sbpTargetDefault (resolved from market → channel → protocol → patient hierarchy)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Component 2: Clinical Parameter Set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ARV elevated threshold (12 mmHg)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CHANGE — this is physiology-based, same across all markets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N/A (hardcoded correctly)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Morning surge threshold (25 mmHg)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CHANGE — physiology-based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Cuffless device availability (‘pipeline ready’)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channelConfig.cufflessEligible (true for AU corporate/insurance, false for India government)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Component 5: Channel Definition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Emergency SBP threshold (180 mmHg)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CHANGE — universal clinical emergency definition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Clinic BP source (‘IHCI Simple app’)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healthRecordAdapter config (Simple in India, GP clinical system in Australia)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Component 4: Health Record Integration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Deep Dive #2 (MealResponseCorrelator) — Configuration Points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400"/>
        <w:gridCol w:w="488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Hardcoded in Deep Dive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Should Reference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Shim Component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IFCT 2017 as food database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foodDbConfig.primaryDatabase (IFCT for India, AUSNUT for Australia)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Component 1: Food Database Adapter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INDB as recipe database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foodDbConfig.recipeDatabase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Component 1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5-region food catalog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foodDbConfig.catalogRegions (5 Indian regions or 6 AU cuisine groups)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Component 1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Added salt NORMAL = 600mg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clinicalParams.addedSaltNormalMg (600 India, 450 Australia)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Component 2: Clinical Parameter Set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ASHA worker-assisted source channel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channelConfig.fieldWorkerRole (‘asha_worker’ or ‘indigenous_health_worker’)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Component 5: Channel Definition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Festival calendar (Navratri, Ramadan)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localizationBundle.culturalCalendar (market-specific festivals)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Component 7: Localization Bundle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Protein target 0.8-1.2 g/kg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clinicalParams.proteinTargetGkg (may be lower for CKD-prevalent populations)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Component 2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Glucose curve analysis (iAUC, peak, etc.)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CHANGE — physiology-based computation, market-independent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Sodium-BP regression algorithm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CHANGE — statistical method is universal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Salt sensitivity phenotype thresholds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CHANGE — slope-based classification is physiology-based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N/A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Pattern for Future Deep Dives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Every future deep dive follows this template: write the specification as market-independent. At each point where a value could differ by market, insert a reference to the shim component and YAML key. If the value is physiology-based (ARV thresholds, iAUC computation, regression algorithms), hardcode it and mark it as ‘market-independent — no shim needed.’ The distinction is clear: biology doesn’t change by geography. Healthcare delivery, cost structures, food databases, regulatory frameworks, and cultural contexts do.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5. Adding a New Market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When Vaidshala expands to a third market (UK, UAE, Singapore, etc.), the engineering work is configuration, not code: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000"/>
        <w:gridCol w:w="448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 Required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Estimated Effort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Clinical parameter set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Research market-specific BMI thresholds, BP targets, CV risk calculator, clinical guidelines. Write clinical_params.yaml.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1-2 weeks (clinical research + review)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 Food database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Identify national food composition database. Load into food lookup service. Map food IDs. Build quick-log catalog for local dietary patterns.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3-4 weeks (database integration + catalog curation + nutritionist review)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 Pharmacotherapy shim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Map local formulary/drug subsidy scheme (NHS in UK, DHA in UAE). Identify drug name mappings. Cost barrier analysis per channel.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1-2 weeks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 Health record adapter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 adapter for national health record system (NHS Spine in UK, Riayati in UAE, NEHR in Singapore). All use FHIR or HL7.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2-4 weeks (API integration + testing)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5. Channel definition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Define local care delivery channels. Map care team roles. Identify integration points (GP systems, hospital systems, community health).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week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6. Regulatory compliance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Assess SaMD classification (MHRA in UK, MOH in UAE, HSA in Singapore). Determine ARTG-equivalent registration requirements.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4-12 weeks (regulatory pathway, parallel with engineering)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7. Localization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Language packs, cultural calendar, care team terminology, patient app tone.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2-3 weeks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8. Deploy + validate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Spin up AWS region, deploy with market config, run smoke tests, pilot.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1-2 weeks (infrastructure)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Total estimated effort to add a new market: 8-16 weeks of configuration and integration work, zero engine code changes. The regulatory pathway (Step 6) is typically the calendar bottleneck, not the engineering.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6. What Is Never Shimmed — The Universal Clinical Core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The following components are physiology-based, not market-based. They are hardcoded in the engine and identical across all deployments. Shimming these would be clinically incorrect.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600"/>
        <w:gridCol w:w="448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It’s Universal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Would Shimming It Be Harmful?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ARV computation algorithm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Average Real Variability is a mathematical definition. The formula doesn’t change by country.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 — different ARV algorithms would make cross-market comparisons impossible.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Morning surge detection algorithm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Sleep-trough and pre-waking surge methods are defined by the physiology of the circadian BP cycle.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 — different algorithms would invalidate clinical evidence applicability.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iAUC computation (trapezoidal rule)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Area under the glucose curve is a mathematical integral. Same everywhere.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Curve shape classification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RAPID_SPIKE / SLOW_RISE / PLATEAU / DOUBLE_PEAK / FLAT are glucose curve morphology patterns determined by physiology.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Salt sensitivity regression (slope method)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Linear regression of sodium-BP pairs is a statistical method. The β slope classification thresholds are physiology-based.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Possibly acceptable to adjust thresholds by ethnicity, but the initial thresholds should be universal until population-specific calibration data exists.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Four-pillar drug classes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RAS blockade, SGLT2i, GLP-1RA, ns-MRA. These are the four pillars globally per ADA/ESC/KDIGO guidelines.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 — the drug classes are universal. What changes is availability and cost (handled by pharma shim).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V-MCU 14-phase RunCycle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deterministic closed-loop engine. 14 phases: channel evaluation, arbiter, integrator, cooldown, rate limiter, titration, autonomy check, safety trace.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 — the engine logic is the product’s core IP. Market adaptation happens through the configuration it reads, not through code changes.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Channel B safety gates (27 rules)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Clinical safety thresholds (hypoglycemia &lt; 54 mg/dL, hyperkalemia &gt; 5.5 mEq/L, SBP &gt; 180). These are universal emergency definitions.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 — weakening safety gates for any market would be clinically dangerous.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IOR schema and computation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Intervention-Outcome Records capture before/after state, adherence, confounders. The schema and computation are methodology, not geography.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 — different IOR schemas per market would prevent cross-market intervention-outcome analysis.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MHRI composite score structure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components, 0-100 scale. The WEIGHTS of components might be calibrated per population (future), but the structure is fixed.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Partially — the structure is universal but component weights could theoretically be population-calibrated. For now, keep universal weights until sufficient data exists to justify population-specific calibration.</w:t>
            </w:r>
          </w:p>
        </w:tc>
      </w:tr>
    </w:tbl>
    <w:p>
      <w:pPr>
        <w:pBdr>
          <w:left w:val="single" w:color="C62828" w:sz="6" w:space="8"/>
        </w:pBdr>
        <w:spacing w:after="200" w:before="200"/>
        <w:ind w:left="240"/>
      </w:pPr>
      <w:r>
        <w:rPr>
          <w:rFonts w:ascii="Arial" w:cs="Arial" w:eastAsia="Arial" w:hAnsi="Arial"/>
          <w:b/>
          <w:bCs/>
          <w:color w:val="C62828"/>
          <w:sz w:val="20"/>
          <w:szCs w:val="20"/>
        </w:rPr>
        <w:t xml:space="preserve">DESIGN RULE: </w:t>
      </w:r>
      <w:r>
        <w:rPr>
          <w:rFonts w:ascii="Arial" w:cs="Arial" w:eastAsia="Arial" w:hAnsi="Arial"/>
          <w:sz w:val="20"/>
          <w:szCs w:val="20"/>
        </w:rPr>
        <w:t xml:space="preserve">If you’re uncertain whether something should be shimmed: ask ‘does this differ because of biology or because of healthcare delivery?’ Biology = hardcode. Healthcare delivery = shim.</w:t>
      </w:r>
    </w:p>
    <w:p>
      <w:pPr>
        <w:spacing w:before="40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End of Deep Dive #0: Market Shim Architecture</w:t>
      </w:r>
    </w:p>
    <w:p>
      <w:r>
        <w:rPr>
          <w:rFonts w:ascii="Arial" w:cs="Arial" w:eastAsia="Arial" w:hAnsi="Arial"/>
          <w:color w:val="888888"/>
          <w:sz w:val="18"/>
          <w:szCs w:val="18"/>
        </w:rPr>
        <w:t xml:space="preserve">All subsequent deep dives reference this document for market-specific configuration points.</w:t>
      </w:r>
    </w:p>
    <w:p>
      <w:r>
        <w:rPr>
          <w:rFonts w:ascii="Arial" w:cs="Arial" w:eastAsia="Arial" w:hAnsi="Arial"/>
          <w:color w:val="888888"/>
          <w:sz w:val="18"/>
          <w:szCs w:val="18"/>
        </w:rPr>
        <w:t xml:space="preserve">Next: Deep Dive #3 — Four-Pillar Pharmacotherapy Decision Logic (designed market-independent from the start)</w:t>
      </w:r>
    </w:p>
    <w:sectPr>
      <w:headerReference w:type="default" r:id="rId7"/>
      <w:footerReference w:type="default" r:id="rId8"/>
      <w:pgSz w:w="12240" w:h="15840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Arial" w:cs="Arial" w:eastAsia="Arial" w:hAnsi="Arial"/>
        <w:color w:val="AAAAAA"/>
        <w:sz w:val="14"/>
        <w:szCs w:val="14"/>
      </w:rPr>
      <w:t xml:space="preserve">Page </w:t>
    </w:r>
    <w:r>
      <w:rPr>
        <w:rFonts w:ascii="Arial" w:cs="Arial" w:eastAsia="Arial" w:hAnsi="Arial"/>
        <w:color w:val="AAAAAA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 w:space="4"/>
      </w:pBdr>
    </w:pPr>
    <w:r>
      <w:rPr>
        <w:rFonts w:ascii="Arial" w:cs="Arial" w:eastAsia="Arial" w:hAnsi="Arial"/>
        <w:color w:val="888888"/>
        <w:sz w:val="16"/>
        <w:szCs w:val="16"/>
      </w:rPr>
      <w:t xml:space="preserve">VAIDSHALA v4  |  Deep Dive #0: Market Shim Architecture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2026-03-25T12:32:58.497Z</dcterms:created>
  <dcterms:modified xsi:type="dcterms:W3CDTF">2026-03-25T12:32:58.498Z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