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#10</w:t>
      </w:r>
    </w:p>
    <w:p>
      <w:pPr>
        <w:spacing w:after="200"/>
        <w:jc w:val="center"/>
      </w:pPr>
      <w:r>
        <w:rPr>
          <w:rFonts w:ascii="Arial" w:cs="Arial" w:eastAsia="Arial" w:hAnsi="Arial"/>
          <w:color w:val="2E75B6"/>
          <w:sz w:val="36"/>
          <w:szCs w:val="36"/>
        </w:rPr>
        <w:t xml:space="preserve">Physician Feedback Learning Pipeline</w:t>
      </w:r>
    </w:p>
    <w:p>
      <w:pPr>
        <w:spacing w:after="200"/>
        <w:jc w:val="center"/>
      </w:pPr>
      <w:r>
        <w:rPr>
          <w:rFonts w:ascii="Arial" w:cs="Arial" w:eastAsia="Arial" w:hAnsi="Arial"/>
          <w:color w:val="555555"/>
          <w:sz w:val="24"/>
          <w:szCs w:val="24"/>
        </w:rPr>
        <w:t xml:space="preserve">Rejection Pattern Detection • Modification Pattern Learning • Safety Rule Enrichment</w:t>
      </w:r>
    </w:p>
    <w:p>
      <w:pPr>
        <w:spacing w:after="200"/>
        <w:jc w:val="center"/>
      </w:pPr>
      <w:r>
        <w:rPr>
          <w:rFonts w:ascii="Arial" w:cs="Arial" w:eastAsia="Arial" w:hAnsi="Arial"/>
          <w:color w:val="777777"/>
          <w:sz w:val="22"/>
          <w:szCs w:val="22"/>
        </w:rPr>
        <w:t xml:space="preserve">Acceptance Rate Dashboards • Governed Rule Evolution • Expert Knowledge Capture</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The Learning Loop That Doesn’t Use Machine Learning</w:t>
      </w:r>
    </w:p>
    <w:p>
      <w:pPr>
        <w:spacing w:after="120" w:line="276"/>
      </w:pPr>
      <w:r>
        <w:rPr>
          <w:rFonts w:ascii="Arial" w:cs="Arial" w:eastAsia="Arial" w:hAnsi="Arial"/>
          <w:sz w:val="20"/>
          <w:szCs w:val="20"/>
        </w:rPr>
        <w:t xml:space="preserve">Every Decision Card the system generates receives one of four physician responses: APPROVE, MODIFY, REJECT, or DEFER (Deep Dive #5, Section 5.3). These responses are not just workflow events — they are structured feedback signals that encode physician clinical expertise. A rejection with reason CONTRAINDICATION_KNOWN tells the system: ‘Your safety rules missed something.’ A consistent modification pattern where physicians halve the starting dose for elderly patients tells the system: ‘Your dose recommendation is too aggressive for this subpopulation.’</w:t>
      </w:r>
    </w:p>
    <w:p>
      <w:pPr>
        <w:spacing w:after="120" w:line="276"/>
      </w:pPr>
      <w:r>
        <w:rPr>
          <w:rFonts w:ascii="Arial" w:cs="Arial" w:eastAsia="Arial" w:hAnsi="Arial"/>
          <w:sz w:val="20"/>
          <w:szCs w:val="20"/>
        </w:rPr>
        <w:t xml:space="preserve">The Physician Feedback Learning Pipeline transforms these signals into concrete, deterministic rule updates. It does NOT train a neural network. It does NOT adjust recommendation probabilities. It detects PATTERNS in physician behaviour, proposes RULE CHANGES in human-readable YAML, and submits them to a clinical committee for REVIEW before deployment. The learning is offline, governed, and auditable.</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The pipeline detects patterns. The clinical committee approves changes. The system deploys approved changes as YAML configuration updates. At no point does the system autonomously modify its own recommendation logic. Every rule change has a human approval trail. This is the deterministic boundary applied to system evolution.</w:t>
      </w:r>
    </w:p>
    <w:p>
      <w:r>
        <w:br w:type="page"/>
      </w:r>
    </w:p>
    <w:p>
      <w:pPr>
        <w:pStyle w:val="Heading1"/>
        <w:spacing w:after="200" w:before="360"/>
      </w:pPr>
      <w:r>
        <w:rPr>
          <w:rFonts w:ascii="Arial" w:cs="Arial" w:eastAsia="Arial" w:hAnsi="Arial"/>
          <w:b/>
          <w:bCs/>
          <w:color w:val="1B3A5C"/>
          <w:sz w:val="32"/>
          <w:szCs w:val="32"/>
        </w:rPr>
        <w:t xml:space="preserve">2. Feedback Data Captured Per Decision Card</w:t>
      </w:r>
    </w:p>
    <w:p>
      <w:pPr>
        <w:spacing w:after="120" w:line="276"/>
      </w:pPr>
      <w:r>
        <w:rPr>
          <w:rFonts w:ascii="Arial" w:cs="Arial" w:eastAsia="Arial" w:hAnsi="Arial"/>
          <w:sz w:val="20"/>
          <w:szCs w:val="20"/>
        </w:rPr>
        <w:t xml:space="preserve">Every physician interaction with a Decision Card produces a feedback record stored in the KB-23 feedback store (PostgreSQL, same RDS as IOR store, separate schema).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8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8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v7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 at physician action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card_id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UUID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the Decision Card</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Links to the original recommendation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the Decision Card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PILLAR_GAP, INTEGRATED_DUAL_DOMAIN, MEDICATION_REVIEW, etc.</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UUID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the Decision Card</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Links to patient for context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(de-identified)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 context</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per-physician pattern analysis without identifying the physician externally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physician_action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 APPROVED / MODIFIED / REJECTED / DEFERRED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UI interaction</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primary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recommended_drug_class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card payload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SGLT2I, GLP1RA, CCB. For medication cards.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recommended_dose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 (nullable)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card payload</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‘empagliflozin 10mg’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recommended_pillar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1–4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PILLAR_GAP card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Which pillar was recommended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patient_age_at_action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KB-20</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age-stratified pattern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patient_egfr_at_action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KB-20</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renal-stratified pattern analysis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patient_bmi_at_action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KB-20</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metabolic-stratified pattern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patient_phenotype_cluster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KB-20</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phenotype-stratified analysis (Phase 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modification_detail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(nullable)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MODIFIED: structured diff</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 field: ‘dose’, original: ‘10mg’, modified: ‘5mg’, reason: ‘Elderly patient, start lower’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rejection_reason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REJECTED: categorized reason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CONTRAINDICATION_KNOWN / PATIENT_PREFERENCE / CLINICAL_JUDGMENT / ALREADY_TRIED / COST_BARRIER / TIMING_INAPPROPRIATE / INSUFFICIENT_DATA / OTHER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rejection_detail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 (nullable)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REJECTED: optional free-text</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Physician’s own words. Reviewed monthly by clinical team for insights not captured by the enum.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physician_alternative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REJECTED/MODIFIED: what the physician chose instead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 drug: ‘amlodipine’, dose: ‘5mg’, rationale: ‘Prefer CCB over thiazide for this patient’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response_time_minutes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Timestamp of action minus timestamp of card generation</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Indicator of card complexity/clarity. Long response times may indicate confusing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card_urgency_at_generation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the Decision Card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 this a high-urgency or low-urgency recommendation?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System clock</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the feedback was recorded</w:t>
            </w:r>
          </w:p>
        </w:tc>
      </w:tr>
    </w:tbl>
    <w:p>
      <w:r>
        <w:br w:type="page"/>
      </w:r>
    </w:p>
    <w:p>
      <w:pPr>
        <w:pStyle w:val="Heading1"/>
        <w:spacing w:after="200" w:before="360"/>
      </w:pPr>
      <w:r>
        <w:rPr>
          <w:rFonts w:ascii="Arial" w:cs="Arial" w:eastAsia="Arial" w:hAnsi="Arial"/>
          <w:b/>
          <w:bCs/>
          <w:color w:val="1B3A5C"/>
          <w:sz w:val="32"/>
          <w:szCs w:val="32"/>
        </w:rPr>
        <w:t xml:space="preserve">3. Four Analysis Pipelines</w:t>
      </w:r>
    </w:p>
    <w:p>
      <w:pPr>
        <w:spacing w:after="120" w:line="276"/>
      </w:pPr>
      <w:r>
        <w:rPr>
          <w:rFonts w:ascii="Arial" w:cs="Arial" w:eastAsia="Arial" w:hAnsi="Arial"/>
          <w:sz w:val="20"/>
          <w:szCs w:val="20"/>
        </w:rPr>
        <w:t xml:space="preserve">The feedback learning pipeline runs four independent analyses on the accumulated feedback data. Each analysis has a different cadence, trigger condition, and output type.</w:t>
      </w:r>
    </w:p>
    <w:p>
      <w:pPr>
        <w:pStyle w:val="Heading2"/>
        <w:spacing w:after="160" w:before="280"/>
      </w:pPr>
      <w:r>
        <w:rPr>
          <w:rFonts w:ascii="Arial" w:cs="Arial" w:eastAsia="Arial" w:hAnsi="Arial"/>
          <w:b/>
          <w:bCs/>
          <w:color w:val="2E75B6"/>
          <w:sz w:val="28"/>
          <w:szCs w:val="28"/>
        </w:rPr>
        <w:t xml:space="preserve">3.1 Pipeline 1: Rejection Pattern Detection</w:t>
      </w:r>
    </w:p>
    <w:p>
      <w:pPr>
        <w:spacing w:after="120" w:line="276"/>
      </w:pPr>
      <w:r>
        <w:rPr>
          <w:rFonts w:ascii="Arial" w:cs="Arial" w:eastAsia="Arial" w:hAnsi="Arial"/>
          <w:sz w:val="20"/>
          <w:szCs w:val="20"/>
        </w:rPr>
        <w:t xml:space="preserve">Detects when a specific recommendation type is consistently rejected across physicians, indicating a systematic flaw in the recommendation logic rather than individual physician preference.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Cadence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 (1st of each month). Also triggered when any drug_class rejection rate crosses 30% in a rolling 30-day window.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Input</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feedback records with physician_action = REJECTED, grouped by: card_type + recommended_drug_class + rejection_reason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Detection Threshold</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 class rejected ≥30% of the time across ≥3 different physicians in a 30-day window. Single-physician rejections are excluded (may be individual preference, not systematic issue).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Output</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Rejection Pattern Report: { drug_class, rejection_rate, primary_rejection_reasons (ranked), patient_profile_of_rejected_cases (age/eGFR/BMI distribution), proposed_action }</w:t>
            </w:r>
          </w:p>
        </w:tc>
      </w:tr>
    </w:tbl>
    <w:p>
      <w:pPr>
        <w:pStyle w:val="Heading3"/>
        <w:spacing w:after="120" w:before="200"/>
      </w:pPr>
      <w:r>
        <w:rPr>
          <w:rFonts w:ascii="Arial" w:cs="Arial" w:eastAsia="Arial" w:hAnsi="Arial"/>
          <w:b/>
          <w:bCs/>
          <w:color w:val="404040"/>
          <w:sz w:val="24"/>
          <w:szCs w:val="24"/>
        </w:rPr>
        <w:t xml:space="preserve">Rejection Reason Analysis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00"/>
        <w:gridCol w:w="38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Rejection Reason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Tells the System</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Rule Change Type</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Review 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CONTRAINDICATION_KNOWN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recommended a drug for a patient with a contraindication that KB-24 didn’t catch. This is the highest-value feedback — it fills a safety gap.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new KB-24 safety rule or Comorbidity Interaction Detector rule (Deep Dive #7). Proposed rule includes: the condition, the drug, the trigger, and the action.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URGENT — reviewed within 7 days. Patient safety gap.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COST_BARRIER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drug is indicated but unaffordable for this patient’s channel. The pharma shim’s affordability data may be incorrect or incomplete.</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UPDATE pharma_shim.yaml affordability flags. If a drug is consistently rejected for cost in a specific channel: set affordable = false for that channel and recommend the alternative.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 — reviewed monthly. May require market research on actual costs.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PATIENT_PREFERENCE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patient refused the recommended treatment. This is valid clinical judgment — the system should not override patient autonomy. But if a specific drug is consistently refused by patients: consider the alternative earlier in the recommendation sequence.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patient_preference_flag to KB-20 for this drug class. Future recommendations skip this drug and offer the alternative directly. E.g., if patients consistently refuse injectable GLP-1RA: recommend oral semaglutide instead.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reviewed quarterly. Patient preference patterns are slow-changing.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ALREADY_TRIED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system recommended a drug that the patient has already tried and failed (not captured in medication history). Gap in medication history completeness.</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IMPROVE KB-20 medication history ingestion. Flag: is the health record integration (ABDM/MHR) capturing historical medications comprehensively? If not: add a ‘medications tried’ field to enrollment questionnaire.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 — data quality improvement.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CLINICAL_JUDGMENT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physician disagrees with the recommendation based on clinical reasoning not captured in the system’s rule set. Most informative category for expert knowledge capture.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free-text rejection_detail. If a pattern emerges (e.g., multiple physicians say ‘this patient has autonomic neuropathy, beta-blocker is contraindicated’): add as a new condition check in the pillar evaluation logic.</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reviewed monthly. Expert knowledge source.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TIMING_INAPPROPRIATE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recommendation is clinically correct but the timing is wrong (patient is acutely ill, recovering from surgery, about to travel, fasting period, etc.). Perturbation detection may be insufficient.</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IMPROVE perturbation detection in the correction loop. If ‘patient travelling’ is a common reason: add travel detection from engagement patterns (sudden drop in readings from home timezone). If ‘fasting period’: ensure CID-17 cultural calendar coverage is complete.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 — reviewed 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INSUFFICIENT_DATA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physician feels there isn’t enough data to support the recommendation. May indicate: labs are stale, monitoring data is sparse, or the system is recommending with low data_completeness_score.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data_sufficiency_gate to KB-23: if data_completeness_score (from MHRI Deep Dive #6) &lt; threshold, suppress or downgrade the card rather than presenting a full recommendation. Or: add ‘Suggest lab order’ card instead of ‘Add medication’ card.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card quality improvement.</w:t>
            </w:r>
          </w:p>
        </w:tc>
      </w:tr>
    </w:tbl>
    <w:p>
      <w:r>
        <w:br w:type="page"/>
      </w:r>
    </w:p>
    <w:p>
      <w:pPr>
        <w:pStyle w:val="Heading2"/>
        <w:spacing w:after="160" w:before="280"/>
      </w:pPr>
      <w:r>
        <w:rPr>
          <w:rFonts w:ascii="Arial" w:cs="Arial" w:eastAsia="Arial" w:hAnsi="Arial"/>
          <w:b/>
          <w:bCs/>
          <w:color w:val="2E75B6"/>
          <w:sz w:val="28"/>
          <w:szCs w:val="28"/>
        </w:rPr>
        <w:t xml:space="preserve">3.2 Pipeline 2: Modification Pattern Learning</w:t>
      </w:r>
    </w:p>
    <w:p>
      <w:pPr>
        <w:spacing w:after="120" w:line="276"/>
      </w:pPr>
      <w:r>
        <w:rPr>
          <w:rFonts w:ascii="Arial" w:cs="Arial" w:eastAsia="Arial" w:hAnsi="Arial"/>
          <w:sz w:val="20"/>
          <w:szCs w:val="20"/>
        </w:rPr>
        <w:t xml:space="preserve">Detects when physicians consistently modify the SAME parameter of a recommendation in the SAME direction, indicating the system’s default is miscalibrated for a patient subpopulation.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Cadence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Input</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feedback records with physician_action = MODIFIED, grouped by: modification_detail.field + recommended_drug_class + patient characteristic (age bucket, eGFR range, BMI range, phenotype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Detection Threshold</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modification pattern observed ≥5 times from ≥2 different physicians within a patient subgroup. E.g., ‘for patients age &gt;75 starting empagliflozin: 5 of 7 physicians halved the dose from 10mg to 5mg.’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Output</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 Pattern Report: { drug_class, modification_field, original_value, most_common_modified_value, patient_subgroup, frequency, physician_count, proposed_rule }</w:t>
            </w:r>
          </w:p>
        </w:tc>
      </w:tr>
    </w:tbl>
    <w:p>
      <w:pPr>
        <w:pStyle w:val="Heading3"/>
        <w:spacing w:after="120" w:before="200"/>
      </w:pPr>
      <w:r>
        <w:rPr>
          <w:rFonts w:ascii="Arial" w:cs="Arial" w:eastAsia="Arial" w:hAnsi="Arial"/>
          <w:b/>
          <w:bCs/>
          <w:color w:val="404040"/>
          <w:sz w:val="24"/>
          <w:szCs w:val="24"/>
        </w:rPr>
        <w:t xml:space="preserve">Common Modification Patterns and Rule Proposals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80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Pattern Detected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Patient Subgroup</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Rule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Dose halving for elderly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 ≥75, any drug class being initiated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Dose reduced by ~50% from recommended starting dose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rule: IF patient.age ≥ 75 THEN recommend half of standard starting dose. Template text: ‘Starting at reduced dose due to 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YAML update to protocol_rules.yaml under the relevant protocol (GLYC-1/HTN-1). Field: age_adjusted_starting_dose = 0.5 × standard_dose.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Dose reduction for low eGFR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eGFR 25–45, SGLT2i or finerenone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Dose reduced (e.g., empagliflozin 10mg → 5mg) or switched to a different agent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rule: IF eGFR &lt; 45 AND drug = empagliflozin THEN recommend 10mg (not 25mg). For finerenone: start 10mg (not 20mg).</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Protocol-level dose adjustment. Already partially covered by drug labelling but system may be recommending max dose where physicians prefer conservative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CCB preferred over thiazide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with glucose near target (HbA1c 7.0–7.5) and BP needing second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replaces thiazide with amlodipine, reason: ‘thiazide may worsen glucose’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rule: IF hba1c &lt; 7.5 AND HTN-1 Step 3 recommends thiazide THEN prefer amlodipine (glucose-neutral). Already captured in CID-06 but this makes it a DEFAULT preference, not just a flag.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HTN-1 protocol update: when patient has T2DM + HbA1c near target, CCB becomes preferred over thiazide at Step 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Evening dosing for morning surge patients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 surge classification = ELEVATED or EXTREME, physician changes dosing time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modifies timing from ‘morning’ to ‘evening’ for the antihypertensive</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rule: IF morning_surge_classification IN (ELEVATED, EXTREME) THEN recommend evening dosing for the longest-acting antihypertensive. Add template: ‘Evening dosing may reduce your patient’s morning BP surge.’</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Protocol-level timing recommendation. Adds a dosing_time field to medication recommendation.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Oral semaglutide preferred over injectable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preference pattern (not a clinical subgroup)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switches injectable semaglutide to oral Rybelsus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rule: IF glp1ra is recommended AND patient has no preference history THEN present both options: ‘Injectable (Ozempic, weekly) or oral (Rybelsus, daily)’ rather than defaulting to injectable.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template update: dual-option presentation for GLP-1RA.</w:t>
            </w:r>
          </w:p>
        </w:tc>
      </w:tr>
    </w:tbl>
    <w:p>
      <w:r>
        <w:br w:type="page"/>
      </w:r>
    </w:p>
    <w:p>
      <w:pPr>
        <w:pStyle w:val="Heading2"/>
        <w:spacing w:after="160" w:before="280"/>
      </w:pPr>
      <w:r>
        <w:rPr>
          <w:rFonts w:ascii="Arial" w:cs="Arial" w:eastAsia="Arial" w:hAnsi="Arial"/>
          <w:b/>
          <w:bCs/>
          <w:color w:val="2E75B6"/>
          <w:sz w:val="28"/>
          <w:szCs w:val="28"/>
        </w:rPr>
        <w:t xml:space="preserve">3.3 Pipeline 3: Safety Rule Enrichment from CONTRAINDICATION_KNOWN</w:t>
      </w:r>
    </w:p>
    <w:p>
      <w:pPr>
        <w:spacing w:after="120" w:line="276"/>
      </w:pPr>
      <w:r>
        <w:rPr>
          <w:rFonts w:ascii="Arial" w:cs="Arial" w:eastAsia="Arial" w:hAnsi="Arial"/>
          <w:sz w:val="20"/>
          <w:szCs w:val="20"/>
        </w:rPr>
        <w:t xml:space="preserve">This is the highest-priority pipeline. Every CONTRAINDICATION_KNOWN rejection is a potential patient safety gap in the system’s rule set.</w:t>
      </w:r>
    </w:p>
    <w:p>
      <w:pPr>
        <w:pStyle w:val="Heading3"/>
        <w:spacing w:after="120" w:before="200"/>
      </w:pPr>
      <w:r>
        <w:rPr>
          <w:rFonts w:ascii="Arial" w:cs="Arial" w:eastAsia="Arial" w:hAnsi="Arial"/>
          <w:b/>
          <w:bCs/>
          <w:color w:val="404040"/>
          <w:sz w:val="24"/>
          <w:szCs w:val="24"/>
        </w:rPr>
        <w:t xml:space="preserve">Per-Event Processing (Not Monthly Batch)</w:t>
      </w:r>
    </w:p>
    <w:p>
      <w:pPr>
        <w:spacing w:after="80"/>
        <w:ind w:left="360"/>
      </w:pPr>
      <w:r>
        <w:rPr>
          <w:rFonts w:ascii="Arial" w:cs="Arial" w:eastAsia="Arial" w:hAnsi="Arial"/>
          <w:sz w:val="19"/>
          <w:szCs w:val="19"/>
        </w:rPr>
        <w:t xml:space="preserve">Step 1: When a feedback record with rejection_reason = CONTRAINDICATION_KNOWN is stored, an alert is emitted to the clinical safety review queue.</w:t>
      </w:r>
    </w:p>
    <w:p>
      <w:pPr>
        <w:spacing w:after="80"/>
        <w:ind w:left="360"/>
      </w:pPr>
      <w:r>
        <w:rPr>
          <w:rFonts w:ascii="Arial" w:cs="Arial" w:eastAsia="Arial" w:hAnsi="Arial"/>
          <w:sz w:val="19"/>
          <w:szCs w:val="19"/>
        </w:rPr>
        <w:t xml:space="preserve">Step 2: Within 7 days, a clinical safety reviewer examines: the patient’s state at recommendation time, the recommended drug, and the physician’s rejection detail.</w:t>
      </w:r>
    </w:p>
    <w:p>
      <w:pPr>
        <w:spacing w:after="80"/>
        <w:ind w:left="360"/>
      </w:pPr>
      <w:r>
        <w:rPr>
          <w:rFonts w:ascii="Arial" w:cs="Arial" w:eastAsia="Arial" w:hAnsi="Arial"/>
          <w:sz w:val="19"/>
          <w:szCs w:val="19"/>
        </w:rPr>
        <w:t xml:space="preserve">Step 3: Reviewer determines: is this a GENUINE safety gap (the system should have caught this) or a PHYSICIAN-SPECIFIC concern (the physician is being more conservative than guidelines require)?</w:t>
      </w:r>
    </w:p>
    <w:p>
      <w:pPr>
        <w:spacing w:after="80"/>
        <w:ind w:left="360"/>
      </w:pPr>
      <w:r>
        <w:rPr>
          <w:rFonts w:ascii="Arial" w:cs="Arial" w:eastAsia="Arial" w:hAnsi="Arial"/>
          <w:sz w:val="19"/>
          <w:szCs w:val="19"/>
        </w:rPr>
        <w:t xml:space="preserve">Step 4A: If GENUINE safety gap: draft a new safety rule for KB-24 or Comorbidity Interaction Detector. The rule specifies: condition, medication, trigger, severity (HALT/PAUSE/SOFT_FLAG), and recommended action. Submit for clinical committee approval.</w:t>
      </w:r>
    </w:p>
    <w:p>
      <w:pPr>
        <w:spacing w:after="80"/>
        <w:ind w:left="360"/>
      </w:pPr>
      <w:r>
        <w:rPr>
          <w:rFonts w:ascii="Arial" w:cs="Arial" w:eastAsia="Arial" w:hAnsi="Arial"/>
          <w:sz w:val="19"/>
          <w:szCs w:val="19"/>
        </w:rPr>
        <w:t xml:space="preserve">Step 4B: If PHYSICIAN-SPECIFIC: log as ‘conservative practice pattern.’ No rule change. If the same concern is raised by 3+ physicians: re-evaluate — may indicate a genuine gap that guidelines haven’t addressed.</w:t>
      </w:r>
    </w:p>
    <w:p>
      <w:pPr>
        <w:spacing w:after="80"/>
        <w:ind w:left="360"/>
      </w:pPr>
      <w:r>
        <w:rPr>
          <w:rFonts w:ascii="Arial" w:cs="Arial" w:eastAsia="Arial" w:hAnsi="Arial"/>
          <w:sz w:val="19"/>
          <w:szCs w:val="19"/>
        </w:rPr>
        <w:t xml:space="preserve">Step 5: Approved rules are added to comorbidity_rules.yaml (for CID rules) or protocol_rules.yaml (for per-protocol safety gates). Deployed in the next configuration release.</w:t>
      </w:r>
    </w:p>
    <w:p>
      <w:pPr>
        <w:pStyle w:val="Heading3"/>
        <w:spacing w:after="120" w:before="200"/>
      </w:pPr>
      <w:r>
        <w:rPr>
          <w:rFonts w:ascii="Arial" w:cs="Arial" w:eastAsia="Arial" w:hAnsi="Arial"/>
          <w:b/>
          <w:bCs/>
          <w:color w:val="404040"/>
          <w:sz w:val="24"/>
          <w:szCs w:val="24"/>
        </w:rPr>
        <w:t xml:space="preserve">Examples of Rules Added from Physician Feedback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5400"/>
        <w:gridCol w:w="24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Physician Rejection Detail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Rule Added</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has gastroparesis — GLP-1RA will worsen symptoms’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KB-24 ADR profile did not include gastroparesis as a GLP-1RA relative contraindication (it’s documented but rare).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CID-18 (SOFT_FLAG): IF patient has gastroparesis diagnosis (ICD E code in KB-20 problem list) AND GLP-1RA recommended THEN WARNING: ‘GLP-1RA may worsen gastroparesis. Consider DPP-4i alternative.’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CID-18</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on lithium — ACEi + SGLT2i will cause lithium toxicity’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Lithium + ACEi + volume depletion = lithium accumulation. Not in standard cardiometabolic safety rules because lithium is a psychiatric drug outside the four-pillar scope.</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CID-19 (PAUSE): IF patient is on lithium (from medication list) AND ACEi/ARB + SGLT2i recommended THEN PAUSE: ‘Lithium levels may rise with ACEi + SGLT2i combination. Monitor lithium levels closely. Consider psychiatry consultation.’</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CID-19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has severe aortic stenosis — cannot tolerate further BP reduction’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Severe aortic stenosis is a relative contraindication to aggressive BP lowering (risk of syncope). Not typically in diabetes management rule sets.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CID-20 (SOFT_FLAG): IF patient has aortic stenosis documented AND new antihypertensive recommended THEN WARNING: ‘Severe aortic stenosis limits BP lowering tolerance. Consider cardiology review before adding agent.’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CID-20</w:t>
            </w:r>
          </w:p>
        </w:tc>
      </w:tr>
    </w:tbl>
    <w:p>
      <w:pPr>
        <w:pBdr>
          <w:left w:val="single" w:color="2E75B6" w:sz="6" w:space="8"/>
        </w:pBdr>
        <w:spacing w:after="120"/>
        <w:ind w:left="240"/>
      </w:pPr>
      <w:r>
        <w:rPr>
          <w:rFonts w:ascii="Arial" w:cs="Arial" w:eastAsia="Arial" w:hAnsi="Arial"/>
          <w:i/>
          <w:iCs/>
          <w:color w:val="555555"/>
          <w:sz w:val="20"/>
          <w:szCs w:val="20"/>
        </w:rPr>
        <w:t xml:space="preserve">Over 12 months, the system is expected to accumulate 10–30 new safety rules from physician feedback. Each rule is a piece of clinical expertise that the system permanently captures. After 3 years, the safety rule set is significantly richer than what any guideline document provides — because it captures real-world edge cases from real clinical practice with real patients. This is the system learning from its physicians, not from a training corpus.</w:t>
      </w:r>
    </w:p>
    <w:p>
      <w:r>
        <w:br w:type="page"/>
      </w:r>
    </w:p>
    <w:p>
      <w:pPr>
        <w:pStyle w:val="Heading2"/>
        <w:spacing w:after="160" w:before="280"/>
      </w:pPr>
      <w:r>
        <w:rPr>
          <w:rFonts w:ascii="Arial" w:cs="Arial" w:eastAsia="Arial" w:hAnsi="Arial"/>
          <w:b/>
          <w:bCs/>
          <w:color w:val="2E75B6"/>
          <w:sz w:val="28"/>
          <w:szCs w:val="28"/>
        </w:rPr>
        <w:t xml:space="preserve">3.4 Pipeline 4: Acceptance Rate Monitoring</w:t>
      </w:r>
    </w:p>
    <w:p>
      <w:pPr>
        <w:spacing w:after="120" w:line="276"/>
      </w:pPr>
      <w:r>
        <w:rPr>
          <w:rFonts w:ascii="Arial" w:cs="Arial" w:eastAsia="Arial" w:hAnsi="Arial"/>
          <w:sz w:val="20"/>
          <w:szCs w:val="20"/>
        </w:rPr>
        <w:t xml:space="preserve">Real-time dashboard metrics that track the overall health of the recommendation system.</w:t>
      </w:r>
    </w:p>
    <w:p>
      <w:pPr>
        <w:pStyle w:val="Heading3"/>
        <w:spacing w:after="120" w:before="200"/>
      </w:pPr>
      <w:r>
        <w:rPr>
          <w:rFonts w:ascii="Arial" w:cs="Arial" w:eastAsia="Arial" w:hAnsi="Arial"/>
          <w:b/>
          <w:bCs/>
          <w:color w:val="404040"/>
          <w:sz w:val="24"/>
          <w:szCs w:val="24"/>
        </w:rPr>
        <w:t xml:space="preserve">Metrics Dashboard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800"/>
        <w:gridCol w:w="4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Overall acceptance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(APPROVED + MODIFIED + REJECTED)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at 6 months, 85% at 12 months, &gt;90% at 24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per-channel, per-card-type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if drops below 60% for any card type in a 30-day window.</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MODIFIED / total actioned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&lt;20% at 12 months, &lt;10% at 24 months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Per-card-type, per-drug-class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 if &gt;30% for any drug class (indicates systematic miscalibration).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REJECTED / total actioned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&lt;15% at 12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Per-card-type, per-drug-class, per-rejection-reason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if &gt;25% for any drug class. Trigger Pipeline 1 review.</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Expiry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EXPIRED / total generated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&lt;10%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Per-card-type, per-channel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 if &gt;15% (cards not being reviewed — physician workflow issue).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Response time (median)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Median minutes from card generation to physician 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&lt;24h for urgency ≥50, &lt;72h for urgency &lt;50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Per-card-type, per-urgency-band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if median &gt;48h for high-urgency cards.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Per-physician acceptance rate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Acceptance rate computed per de-identified physician_id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Within 1 SD of the global mean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Per-physician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 if any physician’s rate is &gt;2 SD below mean (may need onboarding) or &gt;2 SD above mean (may be auto-approving without review — also a concern).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Phenotype-stratified acceptance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Acceptance rate per phenotype cluster (Phase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Uniform across clusters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Per-phenotype-cluster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one cluster has significantly lower acceptance: the therapy mapping for that cluster may be wrong.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Dual-domain uplift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Acceptance rate of INTEGRATED_DUAL_DOMAIN cards vs sum of separate single-domain cards for same patient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INTEGRATED &gt; separate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Global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no uplift: the dual-domain card design isn’t adding value. Review template and shared intervention detection logic.</w:t>
            </w:r>
          </w:p>
        </w:tc>
      </w:tr>
    </w:tbl>
    <w:p>
      <w:r>
        <w:br w:type="page"/>
      </w:r>
    </w:p>
    <w:p>
      <w:pPr>
        <w:pStyle w:val="Heading1"/>
        <w:spacing w:after="200" w:before="360"/>
      </w:pPr>
      <w:r>
        <w:rPr>
          <w:rFonts w:ascii="Arial" w:cs="Arial" w:eastAsia="Arial" w:hAnsi="Arial"/>
          <w:b/>
          <w:bCs/>
          <w:color w:val="1B3A5C"/>
          <w:sz w:val="32"/>
          <w:szCs w:val="32"/>
        </w:rPr>
        <w:t xml:space="preserve">4. Governance: From Pattern to Deployed Rule</w:t>
      </w:r>
    </w:p>
    <w:p>
      <w:pPr>
        <w:spacing w:after="120" w:line="276"/>
      </w:pPr>
      <w:r>
        <w:rPr>
          <w:rFonts w:ascii="Arial" w:cs="Arial" w:eastAsia="Arial" w:hAnsi="Arial"/>
          <w:sz w:val="20"/>
          <w:szCs w:val="20"/>
        </w:rPr>
        <w:t xml:space="preserve">The pipeline detects patterns. Patterns become rule change proposals. Proposals require human approval. Approved changes are deployed as configuration. This governance chain ensures that the system never autonomously changes its own clinical logic.</w:t>
      </w:r>
    </w:p>
    <w:p>
      <w:pPr>
        <w:pStyle w:val="Heading2"/>
        <w:spacing w:after="160" w:before="280"/>
      </w:pPr>
      <w:r>
        <w:rPr>
          <w:rFonts w:ascii="Arial" w:cs="Arial" w:eastAsia="Arial" w:hAnsi="Arial"/>
          <w:b/>
          <w:bCs/>
          <w:color w:val="2E75B6"/>
          <w:sz w:val="28"/>
          <w:szCs w:val="28"/>
        </w:rPr>
        <w:t xml:space="preserve">4.1 The Rule Change Lifecycle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800"/>
        <w:gridCol w:w="36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Artefact Produced</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Pattern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 Analysis Pipeline (automated)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 analysis identifies a rejection or modification pattern that meets detection thresholds.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Pattern Report: drug class, rejection rate or modification pattern, patient subgroup, statistical significance, frequency.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Automated — runs on 1st of each month.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 Proposal Drafted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Safety Reviewer (human)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Reviews the pattern report. Drafts a concrete rule change in YAML format. Includes: condition, action, severity, template text, affected protocols.</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Rule Change Proposal: YAML diff, clinical rationale, affected patient population size estimate, expected impact on acceptance rate.</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Within 14 days of pattern report.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Committee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 Committee (3–5 physicians + clinical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Reviews the proposal. Assesses: is the rule clinically sound? Does it align with current guidelines? Could it introduce new risks? Should it be a SOFT_FLAG or HALT?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Committee Decision: APPROVED / APPROVED_WITH_MODIFICATIONS / REJECTED_WITH_RATIONALE / DEFERRED_PENDING_DATA.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committee meeting (or ad-hoc for URGENT safety rules).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 Implementation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Engineering team</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Merges the approved YAML change into the configuration repository. Runs the 125-scenario V-MCU simulation with the new rule. Verifies no regression.</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Configuration PR with: YAML diff, simulation results, rollback plan.</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Within 7 days of committee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DevOps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Deploys the updated configuration via Kubernetes ConfigMap update. No code deployment needed — rules are configuration, not 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Deployment record in SafetyTrace: rule_id, effective_date, approved_by, simulation_pass.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Within 3 days of implementation approval.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6. Monitoring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Feedback Analysis Pipeline (automated)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After deployment: track the acceptance rate for the affected card type. If the rule change improved acceptance: validated. If acceptance dropped: investigate.</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Post-deployment metrics at 7d, 14d, 30d after rule change.</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Automated — continuous after deployment.</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CONTRAINDICATION_KNOWN safety rules follow an EXPEDITED path: Steps 1–2 happen within 7 days (not monthly). Committee review can be ad-hoc (not waiting for monthly meeting). The safety reviewer can escalate directly to the clinical lead for same-day approval if the gap poses immediate patient risk. All other rule changes follow the standard monthly cadence.</w:t>
      </w:r>
    </w:p>
    <w:p>
      <w:pPr>
        <w:pStyle w:val="Heading2"/>
        <w:spacing w:after="160" w:before="280"/>
      </w:pPr>
      <w:r>
        <w:rPr>
          <w:rFonts w:ascii="Arial" w:cs="Arial" w:eastAsia="Arial" w:hAnsi="Arial"/>
          <w:b/>
          <w:bCs/>
          <w:color w:val="2E75B6"/>
          <w:sz w:val="28"/>
          <w:szCs w:val="28"/>
        </w:rPr>
        <w:t xml:space="preserve">4.2 What Cannot Be Changed by the Pipeline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56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It’s Immutable</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Would Need to Change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B safety gates (27 HARD_STOP rules)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These are universal clinical safety thresholds (hypo &lt;54, K+ &gt;5.5, SBP &gt;180). Weakening them for any reason would be clinically dangerous.</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Only a guideline change from ADA/ESC/KDIGO could justify modifying a safety gate. Requires clinical committee + medical director approval + regulatory notification.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Deterministic boundary</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physician feedback, however voluminous, justifies putting an LLM in the clinical decision path.</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Board-level architectural decision. Not within scope of this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V-MCU RunCycle structure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14-phase correction cycle architecture is foundational. Physician feedback changes WHAT is recommended within the cycle, not HOW the cycle runs.</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Major architecture revision (V5+).</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schema</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intervention-outcome record structure must remain immutable for longitudinal comparability. Changing the schema would invalidate historical IOR data.</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Schema versioning (additive fields only, per V3 schema evolution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 component weights (without calibration data)</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Weights can only be changed through the calibration methodology (Deep Dive #6, Section 7). Physician feedback alone is insufficient — calibration requires outcome data.</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 calibration process with C-statistic validation.</w:t>
            </w:r>
          </w:p>
        </w:tc>
      </w:tr>
    </w:tbl>
    <w:p>
      <w:r>
        <w:br w:type="page"/>
      </w:r>
    </w:p>
    <w:p>
      <w:pPr>
        <w:pStyle w:val="Heading1"/>
        <w:spacing w:after="200" w:before="360"/>
      </w:pPr>
      <w:r>
        <w:rPr>
          <w:rFonts w:ascii="Arial" w:cs="Arial" w:eastAsia="Arial" w:hAnsi="Arial"/>
          <w:b/>
          <w:bCs/>
          <w:color w:val="1B3A5C"/>
          <w:sz w:val="32"/>
          <w:szCs w:val="32"/>
        </w:rPr>
        <w:t xml:space="preserve">5. Expert Knowledge Capture — The Hidden Asset</w:t>
      </w:r>
    </w:p>
    <w:p>
      <w:pPr>
        <w:spacing w:after="120" w:line="276"/>
      </w:pPr>
      <w:r>
        <w:rPr>
          <w:rFonts w:ascii="Arial" w:cs="Arial" w:eastAsia="Arial" w:hAnsi="Arial"/>
          <w:sz w:val="20"/>
          <w:szCs w:val="20"/>
        </w:rPr>
        <w:t xml:space="preserve">Beyond rule improvement, the physician feedback dataset is an expert knowledge corpus. Over time, it captures the collective clinical judgment of every physician who uses the platform. This corpus has three strategic uses.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60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Strategic Use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It’s Built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Preference Profiles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Understanding per-physician prescribing patterns. Which physicians prefer lifestyle-first? Which are aggressive with four-pillar therapy? Which are conservative with elderly patients? This enables: (a) matching patients to physicians whose style suits them, (b) identifying physicians who may benefit from education on guidelines they’re not following.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Cluster physicians by their feedback patterns (acceptance rate by card type, modification patterns, rejection reasons). Simple k-means on physician-level aggregated feedback vectors.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 (month 9–12). Requires ≥100 feedback records per physician for meaningful profiling.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Decision Audit Trail</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TGA/CDSCO regulatory submissions: demonstrate that the system’s recommendations evolve based on real clinical practice. Every rule change has a traceable path from physician feedback → pattern detection → committee approval → deployment. This is stronger evidence of clinical validity than a static guideline implementation.</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SafetyTrace audit log already captures every rule change. The feedback pipeline adds the ‘WHY’: the pattern that motivated the change, the committee’s review, the post-deployment impact.</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Available from Phase 2 onward. Enriches with every governance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Training Data for Future Clinical AI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If/when Vaidshala decides to explore ML-based recommendation refinement (beyond the deterministic boundary): the physician feedback dataset is the GOLD STANDARD training set. Each record is a (recommendation, patient_state, expert_decision) tuple. This is supervised learning data of the highest quality — real experts making real decisions on real patients. The deterministic boundary may move in V6+ only if regulatory frameworks evolve. The training data is being accumulated now.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action needed — the feedback records are already being stored in structured format. The dataset grows automatically. When/if the boundary moves, the data is ready.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accumulation from Phase 2. Potential use in V6+ (2028+). Regulatory landscape must evolve first.</w:t>
            </w:r>
          </w:p>
        </w:tc>
      </w:tr>
    </w:tbl>
    <w:p>
      <w:pPr>
        <w:pBdr>
          <w:left w:val="single" w:color="2E75B6" w:sz="6" w:space="8"/>
        </w:pBdr>
        <w:spacing w:after="120"/>
        <w:ind w:left="240"/>
      </w:pPr>
      <w:r>
        <w:rPr>
          <w:rFonts w:ascii="Arial" w:cs="Arial" w:eastAsia="Arial" w:hAnsi="Arial"/>
          <w:i/>
          <w:iCs/>
          <w:color w:val="555555"/>
          <w:sz w:val="20"/>
          <w:szCs w:val="20"/>
        </w:rPr>
        <w:t xml:space="preserve">The third use — training data for future clinical AI — is explicitly marked as FUTURE. The current architecture is deterministic. The feedback pipeline improves deterministic rules. But the data being collected is structured in a way that would support ML if the regulatory and clinical evidence environment evolves to permit it. We’re building the foundation without crossing the boundary.</w:t>
      </w:r>
    </w:p>
    <w:p>
      <w:r>
        <w:br w:type="page"/>
      </w:r>
    </w:p>
    <w:p>
      <w:pPr>
        <w:pStyle w:val="Heading1"/>
        <w:spacing w:after="200" w:before="360"/>
      </w:pPr>
      <w:r>
        <w:rPr>
          <w:rFonts w:ascii="Arial" w:cs="Arial" w:eastAsia="Arial" w:hAnsi="Arial"/>
          <w:b/>
          <w:bCs/>
          <w:color w:val="1B3A5C"/>
          <w:sz w:val="32"/>
          <w:szCs w:val="32"/>
        </w:rPr>
        <w:t xml:space="preserve">6. Market-Specific Considerations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gridCol w:w="4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India</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Australia</w:t>
            </w:r>
          </w:p>
        </w:tc>
        <w:tc>
          <w:tcPr>
            <w:tcW w:type="dxa" w:w="4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 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evidence value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CDSCO SaMD framework emerging. Feedback-driven rule evolution demonstrates real-world clinical validation. Useful for future regulatory engagement.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TGA requires ongoing post-market surveillance for SaMD. The feedback pipeline IS the post-market surveillance system — it continuously monitors whether recommendations are clinically appropriate. Essential for ARTG maintenance.</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governance chain (Section 4) satisfies TGA post-market requirements. SafetyTrace records are TGA-auditable.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diversity</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Medical officers (government), specialists (corporate), GPs (insurance). Different training levels, different prescribing patterns.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GPs (primary), specialists (private insurance), Indigenous health service physicians (ACCHS). Different guideline familiarity, different cultural competency requirements.</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Per-physician acceptance rate monitoring must be calibrated to the physician type. A government medical officer in India may have a different baseline acceptance pattern than an Australian GP — both are valid.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Committee composition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Indian clinical committee: endocrinologist, cardiologist, nephrologist, GP representative, clinical pharmacist.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Australian clinical committee: GP with diabetes interest, endocrinologist, Indigenous health physician (for ACCHS rule changes), clinical pharmacist, TGA liaison.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Committee membership is a market-specific governance parameter stored in governance_config.yaml.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Rule change deployment frequency</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Monthly (standard) with 7-day fast-track for safety rules.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cadence. TGA may require notification of significant rule changes that affect the SaMD’s intended purpose.</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TGA notification field added to deployment record for Australian deployments.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 of feedback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Free-text rejection_detail may be in Hindi, Tamil, or English.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English only.</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NLU extraction from free-text is Phase 4+ and language-dependent. For Phase 2–3: structured enum reasons are the primary signal. Free-text is reviewed manually by the clinical team.</w:t>
            </w:r>
          </w:p>
        </w:tc>
      </w:tr>
    </w:tbl>
    <w:p>
      <w:r>
        <w:br w:type="page"/>
      </w:r>
    </w:p>
    <w:p>
      <w:pPr>
        <w:pStyle w:val="Heading1"/>
        <w:spacing w:after="200" w:before="360"/>
      </w:pPr>
      <w:r>
        <w:rPr>
          <w:rFonts w:ascii="Arial" w:cs="Arial" w:eastAsia="Arial" w:hAnsi="Arial"/>
          <w:b/>
          <w:bCs/>
          <w:color w:val="1B3A5C"/>
          <w:sz w:val="32"/>
          <w:szCs w:val="32"/>
        </w:rPr>
        <w:t xml:space="preserve">7.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Feedback Store + Capture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schema for KB-23 feedback store. Feedback record creation wired from physician Decision Card response flow (Deep Dive #5, Section 5.3). All 21 fields captured per interaction. Basic acceptance rate computation.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Card pipeline (Deep Dive #5) deployed. Physician dashboard (V3 Workstream B) with action buttons wired.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Acceptance Rate Dashboard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3–5</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Real-time dashboard: overall acceptance rate, per-card-type, per-drug-class, per-channel, per-physician (de-identified). Expiry rate. Response time distribution. Alert thresholds for anomalies.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Feedback store accumulating data (Phase A). Dashboard infrastructure (V3).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Rejection Pattern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3–4</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 job: Pipeline 1 (rejection patterns). Detection logic with multi-physician threshold (≥3 physicians, ≥30% rejection). Per-rejection-reason analysis. Pattern report generation.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 feedback records across drug classes (requires ~3 months of pilot with active physician usage).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Modification Pattern Learning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4–5</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Monthly batch job: Pipeline 2 (modification patterns). Subgroup detection (age, eGFR, BMI, phenotype). Rule proposal generation in YAML format. Integration with 125-scenario simulation for regression testing of proposed rules.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 MODIFIED records (may take 3–4 months to accumulate sufficient modification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 Safety Rule Enrichment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2+ (runs continuously after first CONTRAINDICATION_KNOWN event)</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Per-event processing: Pipeline 3. Clinical safety review queue. Expedited governance path (7-day SLA). Rule drafting template. Committee ad-hoc review process.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CONTRAINDICATION_KNOWN rejection event. Clinical safety reviewer assigned.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F: Expert Knowledge Analytics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9–12</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preference profiling (Pipeline 4 extension). Clinical decision audit trail for regulatory submissions. Structured export of governance chain for TGA/CDSCO evidence package.</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≥500 feedback records per physician for profiling. TGA submission preparation (Australia).</w:t>
            </w:r>
          </w:p>
        </w:tc>
      </w:tr>
    </w:tbl>
    <w:p>
      <w:pPr>
        <w:spacing w:before="400"/>
      </w:pPr>
      <w:r>
        <w:rPr>
          <w:rFonts w:ascii="Arial" w:cs="Arial" w:eastAsia="Arial" w:hAnsi="Arial"/>
          <w:b/>
          <w:bCs/>
          <w:sz w:val="20"/>
          <w:szCs w:val="20"/>
        </w:rPr>
        <w:t xml:space="preserve">This is the final deep dive in the V4 architecture series. </w:t>
      </w:r>
      <w:r>
        <w:rPr>
          <w:rFonts w:ascii="Arial" w:cs="Arial" w:eastAsia="Arial" w:hAnsi="Arial"/>
          <w:sz w:val="20"/>
          <w:szCs w:val="20"/>
        </w:rPr>
        <w:t xml:space="preserve">Together, the ten deep dives form a complete engineering specification: Deep Dives #1–2 capture the clinical data (BP variability, meal-glucose-sodium response). Deep Dive #3 identifies what therapy to recommend (four-pillar assessment). Deep Dive #4 tracks whether the therapy worked (IOR). Deep Dive #5 presents the recommendation to the physician (Decision Cards). Deep Dive #6 compresses the patient’s state into one number (MHRI). Deep Dives #7–8 guard against clinical danger (comorbidity interactions) and behavioral dropout (engagement). Deep Dive #9 discovers that patients are different (phenotype clustering). And this Deep Dive #10 ensures that every physician interaction makes the system permanently better.</w:t>
      </w:r>
    </w:p>
    <w:p>
      <w:pPr>
        <w:spacing w:before="200"/>
      </w:pPr>
      <w:r>
        <w:rPr>
          <w:rFonts w:ascii="Arial" w:cs="Arial" w:eastAsia="Arial" w:hAnsi="Arial"/>
          <w:i/>
          <w:iCs/>
          <w:sz w:val="20"/>
          <w:szCs w:val="20"/>
        </w:rPr>
        <w:t xml:space="preserve">The flywheel is complete: data → patterns → recommendations → physician decisions → outcomes → better recommendations. Each turn compounds the system’s clinical intelligence. That compounding is the moat.</w:t>
      </w:r>
    </w:p>
    <w:p>
      <w:pPr>
        <w:spacing w:before="400"/>
      </w:pPr>
      <w:r>
        <w:rPr>
          <w:rFonts w:ascii="Arial" w:cs="Arial" w:eastAsia="Arial" w:hAnsi="Arial"/>
          <w:i/>
          <w:iCs/>
          <w:color w:val="888888"/>
          <w:sz w:val="20"/>
          <w:szCs w:val="20"/>
        </w:rPr>
        <w:t xml:space="preserve">End of Deep Dive #10: Physician Feedback Learning Pipeline</w:t>
      </w:r>
    </w:p>
    <w:p>
      <w:r>
        <w:rPr>
          <w:rFonts w:ascii="Arial" w:cs="Arial" w:eastAsia="Arial" w:hAnsi="Arial"/>
          <w:color w:val="888888"/>
          <w:sz w:val="18"/>
          <w:szCs w:val="18"/>
        </w:rPr>
        <w:t xml:space="preserve">End of V4 Deep Dive Series.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#10: Physician Feedback Learning Pipeline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2026-03-26T05:45:04.776Z</dcterms:created>
  <dcterms:modified xsi:type="dcterms:W3CDTF">2026-03-26T05:45:04.777Z</dcterms:modified>
</cp:coreProperties>
</file>

<file path=docProps/custom.xml><?xml version="1.0" encoding="utf-8"?>
<Properties xmlns="http://schemas.openxmlformats.org/officeDocument/2006/custom-properties" xmlns:vt="http://schemas.openxmlformats.org/officeDocument/2006/docPropsVTypes"/>
</file>