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B3A5C"/>
          <w:sz w:val="40"/>
          <w:szCs w:val="40"/>
        </w:rPr>
        <w:t xml:space="preserve">VAIDSHALA v4 — Deep Dive #4</w:t>
      </w:r>
    </w:p>
    <w:p>
      <w:pPr>
        <w:spacing w:after="200"/>
        <w:jc w:val="center"/>
      </w:pPr>
      <w:r>
        <w:rPr>
          <w:rFonts w:ascii="Arial" w:cs="Arial" w:eastAsia="Arial" w:hAnsi="Arial"/>
          <w:color w:val="2E75B6"/>
          <w:sz w:val="36"/>
          <w:szCs w:val="36"/>
        </w:rPr>
        <w:t xml:space="preserve">Intervention-Outcome Record (IOR) Schema + Generator</w:t>
      </w:r>
    </w:p>
    <w:p>
      <w:pPr>
        <w:spacing w:after="200"/>
        <w:jc w:val="center"/>
      </w:pPr>
      <w:r>
        <w:rPr>
          <w:rFonts w:ascii="Arial" w:cs="Arial" w:eastAsia="Arial" w:hAnsi="Arial"/>
          <w:color w:val="555555"/>
          <w:sz w:val="24"/>
          <w:szCs w:val="24"/>
        </w:rPr>
        <w:t xml:space="preserve">Causal Attribution • Multi-Domain Outcome Tracking • Confounder Capture</w:t>
      </w:r>
    </w:p>
    <w:p>
      <w:pPr>
        <w:spacing w:after="200"/>
        <w:jc w:val="center"/>
      </w:pPr>
      <w:r>
        <w:rPr>
          <w:rFonts w:ascii="Arial" w:cs="Arial" w:eastAsia="Arial" w:hAnsi="Arial"/>
          <w:color w:val="777777"/>
          <w:sz w:val="22"/>
          <w:szCs w:val="22"/>
        </w:rPr>
        <w:t xml:space="preserve">Physician Feedback Loop • Similar-Patient Queries • The Compounding Data Asset</w:t>
      </w:r>
    </w:p>
    <w:p>
      <w:pPr>
        <w:spacing w:after="600"/>
        <w:jc w:val="center"/>
      </w:pPr>
      <w:r>
        <w:rPr>
          <w:rFonts w:ascii="Arial" w:cs="Arial" w:eastAsia="Arial" w:hAnsi="Arial"/>
          <w:sz w:val="20"/>
          <w:szCs w:val="20"/>
        </w:rPr>
        <w:t xml:space="preserve">March 2026  |  ENGINEERING CONFIDENTIAL</w:t>
      </w:r>
    </w:p>
    <w:p>
      <w:r>
        <w:br w:type="page"/>
      </w:r>
    </w:p>
    <w:p>
      <w:pPr>
        <w:pStyle w:val="Heading1"/>
        <w:spacing w:after="200" w:before="360"/>
      </w:pPr>
      <w:r>
        <w:rPr>
          <w:rFonts w:ascii="Arial" w:cs="Arial" w:eastAsia="Arial" w:hAnsi="Arial"/>
          <w:b/>
          <w:bCs/>
          <w:color w:val="1B3A5C"/>
          <w:sz w:val="32"/>
          <w:szCs w:val="32"/>
        </w:rPr>
        <w:t xml:space="preserve">1. Why This Is the Most Important Data Asset</w:t>
      </w:r>
    </w:p>
    <w:p>
      <w:pPr>
        <w:spacing w:after="120" w:line="276"/>
      </w:pPr>
      <w:r>
        <w:rPr>
          <w:rFonts w:ascii="Arial" w:cs="Arial" w:eastAsia="Arial" w:hAnsi="Arial"/>
          <w:sz w:val="20"/>
          <w:szCs w:val="20"/>
        </w:rPr>
        <w:t xml:space="preserve">The MealResponseCorrelator (Deep Dive #2) tells you what a patient ate and how their glucose and BP responded. The four-pillar assessment (Deep Dive #3) tells you which medication to recommend next. But neither answers the question that matters most: ‘Did this specific intervention actually work for this specific patient?’</w:t>
      </w:r>
    </w:p>
    <w:p>
      <w:pPr>
        <w:spacing w:after="120" w:line="276"/>
      </w:pPr>
      <w:r>
        <w:rPr>
          <w:rFonts w:ascii="Arial" w:cs="Arial" w:eastAsia="Arial" w:hAnsi="Arial"/>
          <w:sz w:val="20"/>
          <w:szCs w:val="20"/>
        </w:rPr>
        <w:t xml:space="preserve">The IOR system closes that loop. For every intervention the correction loop recommends and the physician approves — medication change, lifestyle prescription, nutritional modification — the IOR captures the patient’s state before, the patient’s state after, what else changed during the observation window (confounders), whether the patient actually followed through (adherence), and the trajectory signal before and during the intervention (to distinguish ‘the intervention helped’ from ‘the patient was already improving’).</w:t>
      </w:r>
    </w:p>
    <w:p>
      <w:pPr>
        <w:pStyle w:val="Heading2"/>
        <w:spacing w:after="160" w:before="280"/>
      </w:pPr>
      <w:r>
        <w:rPr>
          <w:rFonts w:ascii="Arial" w:cs="Arial" w:eastAsia="Arial" w:hAnsi="Arial"/>
          <w:b/>
          <w:bCs/>
          <w:color w:val="2E75B6"/>
          <w:sz w:val="28"/>
          <w:szCs w:val="28"/>
        </w:rPr>
        <w:t xml:space="preserve">1.1 Why Correlation Is Not Causation — And Why IOR Moves Closer</w:t>
      </w:r>
    </w:p>
    <w:p>
      <w:pPr>
        <w:spacing w:after="120" w:line="276"/>
      </w:pPr>
      <w:r>
        <w:rPr>
          <w:rFonts w:ascii="Arial" w:cs="Arial" w:eastAsia="Arial" w:hAnsi="Arial"/>
          <w:sz w:val="20"/>
          <w:szCs w:val="20"/>
        </w:rPr>
        <w:t xml:space="preserve">Without IOR, the system has temporal correlations: patient started empagliflozin, HbA1c went down 3 months later. But maybe the patient also started exercising, lost weight, and changed their diet. The HbA1c improvement could be from any or all of these.</w:t>
      </w:r>
    </w:p>
    <w:p>
      <w:pPr>
        <w:spacing w:after="120" w:line="276"/>
      </w:pPr>
      <w:r>
        <w:rPr>
          <w:rFonts w:ascii="Arial" w:cs="Arial" w:eastAsia="Arial" w:hAnsi="Arial"/>
          <w:sz w:val="20"/>
          <w:szCs w:val="20"/>
        </w:rPr>
        <w:t xml:space="preserve">The IOR doesn’t solve causation perfectly — that requires randomised controlled trials. But it captures the five elements needed for observational causal inference: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58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IOR Captures</w:t>
            </w:r>
          </w:p>
        </w:tc>
        <w:tc>
          <w:tcPr>
            <w:tcW w:type="dxa" w:w="5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 Enables Causal Reasoning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 specificity</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EXACT intervention: drug name, dose change, lifestyle target, nutrition modification. Not ‘treatment changed’ but ‘empagliflozin 10mg added on 15 March.’</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Associates a specific action with a specific outcome, not a general trend.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Pre-intervention state</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Complete patient state snapshot from KB-20 at intervention time: glucose, BP, weight, eGFR, UACR, medications, MHRI, phenotype cluster.</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Establishes the baseline against which change is measured.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Post-intervention state</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snapshot at observation window close.</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Measures the change with the same instruments at the same granularity.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Trajectory before intervention</w:t>
            </w:r>
          </w:p>
        </w:tc>
        <w:tc>
          <w:tcPr>
            <w:tcW w:type="dxa" w:w="5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Was the patient IMPROVING, STABLE, or DETERIORATING before the intervention? From Flink trajectory signal.</w:t>
            </w:r>
          </w:p>
        </w:tc>
        <w:tc>
          <w:tcPr>
            <w:tcW w:type="dxa" w:w="5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Distinguishes ‘intervention reversed a decline’ from ‘patient was already improving and intervention was coincidental.’ This is the strongest observational signal for attribution.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Confounders</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Concurrent interventions (cross-referenced). External events (illness, travel, festivals). Lab changes. Dietary changes (from MealPatternAggregator). Activity changes.</w:t>
            </w:r>
          </w:p>
        </w:tc>
        <w:tc>
          <w:tcPr>
            <w:tcW w:type="dxa" w:w="5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Enables post-hoc adjustment. If a patient started empagliflozin AND started walking 20 min/day in the same window, both are recorded. Statistical methods (difference-in-differences, propensity matching) can partially disentangle them across thousands of records.</w:t>
            </w:r>
          </w:p>
        </w:tc>
      </w:tr>
    </w:tbl>
    <w:p>
      <w:pPr>
        <w:pStyle w:val="Heading2"/>
        <w:spacing w:after="160" w:before="280"/>
      </w:pPr>
      <w:r>
        <w:rPr>
          <w:rFonts w:ascii="Arial" w:cs="Arial" w:eastAsia="Arial" w:hAnsi="Arial"/>
          <w:b/>
          <w:bCs/>
          <w:color w:val="2E75B6"/>
          <w:sz w:val="28"/>
          <w:szCs w:val="28"/>
        </w:rPr>
        <w:t xml:space="preserve">1.2 The Compounding Effect</w:t>
      </w:r>
    </w:p>
    <w:p>
      <w:pPr>
        <w:spacing w:after="120" w:line="276"/>
      </w:pPr>
      <w:r>
        <w:rPr>
          <w:rFonts w:ascii="Arial" w:cs="Arial" w:eastAsia="Arial" w:hAnsi="Arial"/>
          <w:sz w:val="20"/>
          <w:szCs w:val="20"/>
        </w:rPr>
        <w:t xml:space="preserve">At 1,000 patients over 6 months: the IOR store has ~5,000–10,000 records. Useful for basic pattern detection (‘SGLT2i reduces FBG by 15–25 mg/dL in our population’).</w:t>
      </w:r>
    </w:p>
    <w:p>
      <w:pPr>
        <w:spacing w:after="120" w:line="276"/>
      </w:pPr>
      <w:r>
        <w:rPr>
          <w:rFonts w:ascii="Arial" w:cs="Arial" w:eastAsia="Arial" w:hAnsi="Arial"/>
          <w:sz w:val="20"/>
          <w:szCs w:val="20"/>
        </w:rPr>
        <w:t xml:space="preserve">At 10,000 patients over 12 months: ~100,000+ records. Sufficient for phenotype-stratified analysis (‘For cluster-X patients with eGFR 45–60, empagliflozin produces larger BP reduction than dapagliflozin’).</w:t>
      </w:r>
    </w:p>
    <w:p>
      <w:pPr>
        <w:spacing w:after="120" w:line="276"/>
      </w:pPr>
      <w:r>
        <w:rPr>
          <w:rFonts w:ascii="Arial" w:cs="Arial" w:eastAsia="Arial" w:hAnsi="Arial"/>
          <w:sz w:val="20"/>
          <w:szCs w:val="20"/>
        </w:rPr>
        <w:t xml:space="preserve">At 50,000 patients over 24 months: ~1,000,000+ records. The system can answer: ‘For a 55-year-old South Asian male with BMI 27, eGFR 52, HbA1c 8.0, on metformin + telmisartan, the most effective next intervention is adding empagliflozin (expected FBG −18 mg/dL, SBP −4 mmHg, weight −1.5 kg at 28 days) rather than adding semaglutide (expected HbA1c −1.2% at 90 days but requires 12 weeks to see effect).’ That’s precision cardiometabolic medicine.</w:t>
      </w:r>
    </w:p>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The IOR store is append-only. Records are NEVER modified after the observation window closes. All analysis is retrospective on immutable data. This ensures auditability and prevents the system from ‘learning’ from corrupted data.</w:t>
      </w:r>
    </w:p>
    <w:p>
      <w:r>
        <w:br w:type="page"/>
      </w:r>
    </w:p>
    <w:p>
      <w:pPr>
        <w:pStyle w:val="Heading1"/>
        <w:spacing w:after="200" w:before="360"/>
      </w:pPr>
      <w:r>
        <w:rPr>
          <w:rFonts w:ascii="Arial" w:cs="Arial" w:eastAsia="Arial" w:hAnsi="Arial"/>
          <w:b/>
          <w:bCs/>
          <w:color w:val="1B3A5C"/>
          <w:sz w:val="32"/>
          <w:szCs w:val="32"/>
        </w:rPr>
        <w:t xml:space="preserve">2. Intervention Record Schema (Created at Intervention Time)</w:t>
      </w:r>
    </w:p>
    <w:p>
      <w:pPr>
        <w:spacing w:after="120" w:line="276"/>
      </w:pPr>
      <w:r>
        <w:rPr>
          <w:rFonts w:ascii="Arial" w:cs="Arial" w:eastAsia="Arial" w:hAnsi="Arial"/>
          <w:sz w:val="20"/>
          <w:szCs w:val="20"/>
        </w:rPr>
        <w:t xml:space="preserve">When a physician approves a Decision Card (or the patient accepts a lifestyle recommendation), an intervention event is emitted to clinical.intervention-events. The InterventionWindowMonitor (Flink job from Deep Dive #2) consumes this event and signals the IOR Generator to create the Intervention Record — the ‘before’ snapshot.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700"/>
        <w:gridCol w:w="1800"/>
        <w:gridCol w:w="7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v7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Generated at event emission</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Primary key. Links to the Outcome Record.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UUID</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Decision Card</w:t>
            </w:r>
          </w:p>
        </w:tc>
        <w:tc>
          <w:tcPr>
            <w:tcW w:type="dxa" w:w="7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Links to KB-20 patient record.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Derived from Decision Card type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See Section 2.1 for full enum.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intervention_detail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JSON Object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Decision Card payload</w:t>
            </w:r>
          </w:p>
        </w:tc>
        <w:tc>
          <w:tcPr>
            <w:tcW w:type="dxa" w:w="7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Structured detail specific to intervention_type. See Section 2.2.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originating_card_id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 (nullable)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KB-23 Decision Card ID</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Links to the Decision Card that generated this intervention. Null for patient-initiated lifestyle changes.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originating_card_type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No</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KB-23</w:t>
            </w:r>
          </w:p>
        </w:tc>
        <w:tc>
          <w:tcPr>
            <w:tcW w:type="dxa" w:w="7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PILLAR_GAP, MEDICATION_REVIEW, HYPERTENSION_REVIEW, MEAL_INTERVENTION, LIFESTYLE_INTENSIFICATION,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physician_action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 response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APPROVED / MODIFIED / PATIENT_INITIATED. If MODIFIED, modification_detail captures the diff.</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modification_detail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JSON Object (nullable)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MODIFIED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response</w:t>
            </w:r>
          </w:p>
        </w:tc>
        <w:tc>
          <w:tcPr>
            <w:tcW w:type="dxa" w:w="7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 { original_dose: ‘10mg’, physician_dose: ‘5mg’, reason: ‘Start lower for elderly patient’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Auth context</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De-identified physician identifier for acceptance rate tracking.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patient_state_at_intervention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JSON Object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snapshot at intervention time</w:t>
            </w:r>
          </w:p>
        </w:tc>
        <w:tc>
          <w:tcPr>
            <w:tcW w:type="dxa" w:w="7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Complete state snapshot. See Section 2.3.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observation_window_days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intervention_type default, overridable</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 days for lifestyle/nutrition. 28 days for medication. Configurable.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observation_start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ISO 8601</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Intervention approval timestamp</w:t>
            </w:r>
          </w:p>
        </w:tc>
        <w:tc>
          <w:tcPr>
            <w:tcW w:type="dxa" w:w="7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When the window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observation_end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ISO 8601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Computed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start + window_days</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When the window closes.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status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Lifecycle managed by IOR Generator</w:t>
            </w:r>
          </w:p>
        </w:tc>
        <w:tc>
          <w:tcPr>
            <w:tcW w:type="dxa" w:w="7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OBSERVING / CLOSED_COMPLETE / CLOSED_INSUFFICIENT_DATA / CLOSED_CONFOUNDED / CANCELLED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data_tier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Patient’s current tier</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TIER_1 / TIER_2 / TIER_3. Determines which outcome dimensions are populated.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channel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Patient’s enrollment channel</w:t>
            </w:r>
          </w:p>
        </w:tc>
        <w:tc>
          <w:tcPr>
            <w:tcW w:type="dxa" w:w="7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channels.yaml (market shim). Affects adherence assessment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phenotype_cluster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(nullable)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available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phenotype assignment</w:t>
            </w:r>
          </w:p>
        </w:tc>
        <w:tc>
          <w:tcPr>
            <w:tcW w:type="dxa" w:w="7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Enables similar-patient queries stratified by phenotype.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created_at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ISO 8601</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System clock</w:t>
            </w:r>
          </w:p>
        </w:tc>
        <w:tc>
          <w:tcPr>
            <w:tcW w:type="dxa" w:w="7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Record creation timestamp.</w:t>
            </w:r>
          </w:p>
        </w:tc>
      </w:tr>
    </w:tbl>
    <w:p>
      <w:r>
        <w:br w:type="page"/>
      </w:r>
    </w:p>
    <w:p>
      <w:pPr>
        <w:pStyle w:val="Heading2"/>
        <w:spacing w:after="160" w:before="280"/>
      </w:pPr>
      <w:r>
        <w:rPr>
          <w:rFonts w:ascii="Arial" w:cs="Arial" w:eastAsia="Arial" w:hAnsi="Arial"/>
          <w:b/>
          <w:bCs/>
          <w:color w:val="2E75B6"/>
          <w:sz w:val="28"/>
          <w:szCs w:val="28"/>
        </w:rPr>
        <w:t xml:space="preserve">2.1 Intervention Type Enum</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2800"/>
        <w:gridCol w:w="60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Enum Value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Observation Window (Default)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6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IOR Outcome Dimensions Tracked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MEDICATION_ADD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Pharmacotherapy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Add empagliflozin 10mg (Pillar 2)</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 BP, weight, eGFR, UACR, K+ (all applicable per pillar from Deep Dive #3 Section 8)</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MEDICATION_REMOVE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Pharmacotherapy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28 days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Stop glimepiride (SU deprescribing per DEPRESC-1)</w:t>
            </w:r>
          </w:p>
        </w:tc>
        <w:tc>
          <w:tcPr>
            <w:tcW w:type="dxa" w:w="6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Glucose (expect rise), hypoglycemia frequency (expect decrease), weight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MEDICATION_DOSE_INCREASE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Pharmacotherapy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Ramipril 5mg → 10mg (Pillar 1 uptitration)</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eGFR, UACR, K+</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MEDICATION_DOSE_DECREASE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Pharmacotherapy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28 days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Insulin 30U → 24U</w:t>
            </w:r>
          </w:p>
        </w:tc>
        <w:tc>
          <w:tcPr>
            <w:tcW w:type="dxa" w:w="6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Glucose, hypoglycemia frequency, weight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MEDICATION_SWITCH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Pharmacotherapy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Glimepiride → sitagliptin (SU to DPP-4i)</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 hypoglycemia frequency, weight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LIFESTYLE_ACTIVITY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Lifestyle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14 days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Add 15-min post-dinner walk daily</w:t>
            </w:r>
          </w:p>
        </w:tc>
        <w:tc>
          <w:tcPr>
            <w:tcW w:type="dxa" w:w="6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Glucose (PPG), BP, weight, steps/activity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LIFESTYLE_SLEEP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Lifestyle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7h sleep, no screens after 10pm</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Morning BP surge, glucose variability (CV%), sleep data if available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NUTRITION_FOOD_CHANGE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Nutrition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14 days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Switch dinner rice to millets</w:t>
            </w:r>
          </w:p>
        </w:tc>
        <w:tc>
          <w:tcPr>
            <w:tcW w:type="dxa" w:w="6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Meal-response excursion for dinner slot (from MealResponseCorrelator)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NUTRITION_PORTION_CHANGE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Nutrition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Reduce dinner carbs by ~20g</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Dinner excursion, daily carb avg, weight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NUTRITION_TIMING_CHANGE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Nutrition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14 days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Move dinner from 9pm to 7pm</w:t>
            </w:r>
          </w:p>
        </w:tc>
        <w:tc>
          <w:tcPr>
            <w:tcW w:type="dxa" w:w="6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Evening glucose, nocturnal glucose profile (if CGM)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NUTRITION_SODIUM_REDUCTION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Nutrition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14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Reduce added salt, switch to low-sodium salt</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 sodium estimate (from meal logs), BP, sodium-BP slope (from Deep Dive #2)</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MONITORING_CHANGE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Protocol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14 days</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Start CGM (Tier 3 → Tier 2 upgrade)</w:t>
            </w:r>
          </w:p>
        </w:tc>
        <w:tc>
          <w:tcPr>
            <w:tcW w:type="dxa" w:w="6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Data density improvement, meal-response fidelity upgrade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REFERRAL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Protocol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 days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Refer to endocrinologist / nephrologist</w:t>
            </w:r>
          </w:p>
        </w:tc>
        <w:tc>
          <w:tcPr>
            <w:tcW w:type="dxa" w:w="6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Outcome of referral visit (medication changes made by specialist)</w:t>
            </w:r>
          </w:p>
        </w:tc>
      </w:tr>
    </w:tbl>
    <w:p>
      <w:pPr>
        <w:pStyle w:val="Heading2"/>
        <w:spacing w:after="160" w:before="280"/>
      </w:pPr>
      <w:r>
        <w:rPr>
          <w:rFonts w:ascii="Arial" w:cs="Arial" w:eastAsia="Arial" w:hAnsi="Arial"/>
          <w:b/>
          <w:bCs/>
          <w:color w:val="2E75B6"/>
          <w:sz w:val="28"/>
          <w:szCs w:val="28"/>
        </w:rPr>
        <w:t xml:space="preserve">2.2 Intervention Detail Structures</w:t>
      </w:r>
    </w:p>
    <w:p>
      <w:pPr>
        <w:spacing w:after="120" w:line="276"/>
      </w:pPr>
      <w:r>
        <w:rPr>
          <w:rFonts w:ascii="Arial" w:cs="Arial" w:eastAsia="Arial" w:hAnsi="Arial"/>
          <w:sz w:val="20"/>
          <w:szCs w:val="20"/>
        </w:rPr>
        <w:t xml:space="preserve">The intervention_detail field is a JSON object whose schema varies by intervention_type. This is validated against a JSON Schema per type at insertion time.</w:t>
      </w:r>
    </w:p>
    <w:p>
      <w:pPr>
        <w:pStyle w:val="Heading3"/>
        <w:spacing w:after="120" w:before="200"/>
      </w:pPr>
      <w:r>
        <w:rPr>
          <w:rFonts w:ascii="Arial" w:cs="Arial" w:eastAsia="Arial" w:hAnsi="Arial"/>
          <w:b/>
          <w:bCs/>
          <w:color w:val="404040"/>
          <w:sz w:val="24"/>
          <w:szCs w:val="24"/>
        </w:rPr>
        <w:t xml:space="preserve">MEDICATION_ADD / MEDICATION_REMOVE / MEDICATION_SWITCH Detail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drug_name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Generic name (e.g., ‘empagliflozin’). Mapped to ATC code internally.</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drug_class</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w:t>
            </w:r>
          </w:p>
        </w:tc>
        <w:tc>
          <w:tcPr>
            <w:tcW w:type="dxa" w:w="9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METFORMIN / SULFONYLUREA / DPP4I / SGLT2I / GLP1RA / INSULIN_BASAL / INSULIN_BOLUS / TZD / AGI / FINERENONE / ACEI / ARB / CCB / THIAZIDE / BETA_BLOCKER / LOOP_DIURETIC / STATIN / OTHER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brand_name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pharmacoShim.drug_names_file. Market-specific brand (Jardiance, Diabex, etc.)</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dose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w:t>
            </w:r>
          </w:p>
        </w:tc>
        <w:tc>
          <w:tcPr>
            <w:tcW w:type="dxa" w:w="9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 ‘10mg once daily’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previous_drug (SWITCH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Drug being replaced</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previous_dose (SWITCH only)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w:t>
            </w:r>
          </w:p>
        </w:tc>
        <w:tc>
          <w:tcPr>
            <w:tcW w:type="dxa" w:w="9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Dose being replaced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pillar_number (nullable)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 1–4</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Which pillar this addresses. Null if not a pillar drug (e.g., metformin, statin).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rationale_code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w:t>
            </w:r>
          </w:p>
        </w:tc>
        <w:tc>
          <w:tcPr>
            <w:tcW w:type="dxa" w:w="9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From KB-23 Decision Card: HBA1C_ABOVE_TARGET, PILLAR_GAP_2, SU_DEPRESCRIBE, HYPO_RECURRENT,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dual_domain_flag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Boolean</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True if this drug affects multiple MHRI domains (e.g., SGLT2i affects glucose + BP + renal + weight). Triggers multi-domain outcome tracking.</w:t>
            </w:r>
          </w:p>
        </w:tc>
      </w:tr>
    </w:tbl>
    <w:p>
      <w:pPr>
        <w:pStyle w:val="Heading3"/>
        <w:spacing w:after="120" w:before="200"/>
      </w:pPr>
      <w:r>
        <w:rPr>
          <w:rFonts w:ascii="Arial" w:cs="Arial" w:eastAsia="Arial" w:hAnsi="Arial"/>
          <w:b/>
          <w:bCs/>
          <w:color w:val="404040"/>
          <w:sz w:val="24"/>
          <w:szCs w:val="24"/>
        </w:rPr>
        <w:t xml:space="preserve">LIFESTYLE_ACTIVITY Detail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target_behavior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 ‘post-dinner walk’, ‘morning yoga’, ‘increase daily steps’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target_metric</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w:t>
            </w:r>
          </w:p>
        </w:tc>
        <w:tc>
          <w:tcPr>
            <w:tcW w:type="dxa" w:w="9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 ‘duration_minutes’, ‘daily_steps’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previous_value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Current level (e.g., 0 min walk, 3000 steps)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target_value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Float</w:t>
            </w:r>
          </w:p>
        </w:tc>
        <w:tc>
          <w:tcPr>
            <w:tcW w:type="dxa" w:w="9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Prescribed target (e.g., 15 min, 5000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frequency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 ‘daily’, ‘5 days/week’</w:t>
            </w:r>
          </w:p>
        </w:tc>
      </w:tr>
    </w:tbl>
    <w:p>
      <w:pPr>
        <w:pStyle w:val="Heading3"/>
        <w:spacing w:after="120" w:before="200"/>
      </w:pPr>
      <w:r>
        <w:rPr>
          <w:rFonts w:ascii="Arial" w:cs="Arial" w:eastAsia="Arial" w:hAnsi="Arial"/>
          <w:b/>
          <w:bCs/>
          <w:color w:val="404040"/>
          <w:sz w:val="24"/>
          <w:szCs w:val="24"/>
        </w:rPr>
        <w:t xml:space="preserve">NUTRITION_FOOD_CHANGE / NUTRITION_SODIUM_REDUCTION Detail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9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food_change_type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SUBSTITUTION / ELIMINATION / ADDITION / PORTION_REDUCTION / TIMING_SHIFT / SODIUM_REDUCTION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food_from</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 (nullable)</w:t>
            </w:r>
          </w:p>
        </w:tc>
        <w:tc>
          <w:tcPr>
            <w:tcW w:type="dxa" w:w="9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 ‘white rice’ (for substitution/elimination)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food_to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 (nullable)</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 ‘brown rice / millets’ (for substitution/addition)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meal_slot_affected</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w:t>
            </w:r>
          </w:p>
        </w:tc>
        <w:tc>
          <w:tcPr>
            <w:tcW w:type="dxa" w:w="9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BREAKFAST / LUNCH / DINNER / ALL / SNACKS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sodium_target_mg_day (SODIUM_REDUCTION only)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w:t>
            </w:r>
          </w:p>
        </w:tc>
        <w:tc>
          <w:tcPr>
            <w:tcW w:type="dxa" w:w="9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 2000 (target daily sodium)</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rationale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String</w:t>
            </w:r>
          </w:p>
        </w:tc>
        <w:tc>
          <w:tcPr>
            <w:tcW w:type="dxa" w:w="9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E.g., ‘Patient’s meal-response data shows 85 mg/dL excursion from white rice vs 42 mg/dL from millets at dinner’</w:t>
            </w:r>
          </w:p>
        </w:tc>
      </w:tr>
    </w:tbl>
    <w:p>
      <w:r>
        <w:br w:type="page"/>
      </w:r>
    </w:p>
    <w:p>
      <w:pPr>
        <w:pStyle w:val="Heading2"/>
        <w:spacing w:after="160" w:before="280"/>
      </w:pPr>
      <w:r>
        <w:rPr>
          <w:rFonts w:ascii="Arial" w:cs="Arial" w:eastAsia="Arial" w:hAnsi="Arial"/>
          <w:b/>
          <w:bCs/>
          <w:color w:val="2E75B6"/>
          <w:sz w:val="28"/>
          <w:szCs w:val="28"/>
        </w:rPr>
        <w:t xml:space="preserve">2.3 Patient State Snapshot (patient_state_at_intervention)</w:t>
      </w:r>
    </w:p>
    <w:p>
      <w:pPr>
        <w:spacing w:after="120" w:line="276"/>
      </w:pPr>
      <w:r>
        <w:rPr>
          <w:rFonts w:ascii="Arial" w:cs="Arial" w:eastAsia="Arial" w:hAnsi="Arial"/>
          <w:sz w:val="20"/>
          <w:szCs w:val="20"/>
        </w:rPr>
        <w:t xml:space="preserve">This is the ‘before photo.’ Captured from KB-20 projection at the exact moment the intervention is approved. The same structure is used for patient_state_at_close (the ‘after photo’).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200"/>
        <w:gridCol w:w="44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4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Glycemic</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hba1c_latest (Float + date), fbg_7d_avg (Float), ppg_7d_avg (Float), tir_7d (Float, nullable), tar_7d (Float, nullable), tbr_7d (Float, nullable), glucose_cv_7d (Float), gmi (Float, nullable)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glucose trajectory, Flink CGM aggregation</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TIR/TAR/TBR only for Tier 1/2 CGM patients. GMI only if CGM active.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Hemodynamic</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sbp_7d_avg (Float), dbp_7d_avg (Float), bp_arv_7d (Float), morning_surge_7d_avg (Float, nullable), dip_classification (Enum, nullable), bp_control_status (Enum)</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BP trajectory, BP Variability Engine (Deep Dive #1)</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ARV, surge, dip from BP Variability Engine output.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Renal</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egfr_latest (Float + date), uacr_latest (Float + date), creatinine_latest (Float), potassium_latest (Float + date), egfr_slope_annual (Float, nullable), ckd_stage (String)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KB-20 renal trajectory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 slope requires ≥3 values over ≥12 months. Null if insufficient data.</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Metabolic</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weight_kg (Float), bmi (Float), waist_cm (Float, nullable), lipid_tc (Float, nullable), lipid_ldl (Float, nullable), lipid_hdl (Float, nullable), lipid_tg (Float, nullable)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metabolic domain</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Lipid panel from most recent lab.</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Composite Scores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mhri_composite (Float 0–100), mhri_glycemic (Float), mhri_hemodynamic (Float), mhri_renal (Float), mhri_metabolic (Float), mhri_engagement (Float), cdi_score (Float 0–20), prevent_10yr_cv_risk (Float)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KB-26 twin, KB-20 CDI, PREVENT calculator</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MHRI from the digital twin. CDI from cross-domain deterioration index.</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Medications</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current_medications[] (Array of {drug, dose, frequency, drug_class, start_date, pillar_number}), pillar_assessment (PillarAssessment object from Deep Dive #3)</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medication state, four-pillar assessment</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Complete medication list with pillar classification.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Meal-Response Profile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avg_postmeal_excursion (Float, nullable), worst_foods_top3[] (nullable), avg_daily_sodium_mg (Float, nullable), salt_sensitivity_phenotype (Enum, nullable), meal_logging_compliance_7d (Float, nullable)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MealPatternAggregator (Deep Dive #2)</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Null for patients without meal-response data (early in enrollment or Tier 3 with few meals logged).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Engagement</w:t>
            </w:r>
          </w:p>
        </w:tc>
        <w:tc>
          <w:tcPr>
            <w:tcW w:type="dxa" w:w="4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engagement_score (Float 0–1), days_since_glucose (Integer), days_since_bp (Integer), days_since_meal_log (Integer)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Engagement Monitor (Flink)</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Low engagement at intervention time is itself a confounder — the intervention may fail because the patient isn’t engaged, not because it’s clinically ineffective.</w:t>
            </w:r>
          </w:p>
        </w:tc>
      </w:tr>
    </w:tbl>
    <w:p>
      <w:pPr>
        <w:pBdr>
          <w:left w:val="single" w:color="2E75B6" w:sz="6" w:space="8"/>
        </w:pBdr>
        <w:spacing w:after="120"/>
        <w:ind w:left="240"/>
      </w:pPr>
      <w:r>
        <w:rPr>
          <w:rFonts w:ascii="Arial" w:cs="Arial" w:eastAsia="Arial" w:hAnsi="Arial"/>
          <w:i/>
          <w:iCs/>
          <w:color w:val="555555"/>
          <w:sz w:val="20"/>
          <w:szCs w:val="20"/>
        </w:rPr>
        <w:t xml:space="preserve">The snapshot is a FROZEN copy. It does not update as KB-20 changes during the observation window. This ensures the ‘before’ state is immutable and the delta computation at window close is accurate.</w:t>
      </w:r>
    </w:p>
    <w:p>
      <w:r>
        <w:br w:type="page"/>
      </w:r>
    </w:p>
    <w:p>
      <w:pPr>
        <w:pStyle w:val="Heading1"/>
        <w:spacing w:after="200" w:before="360"/>
      </w:pPr>
      <w:r>
        <w:rPr>
          <w:rFonts w:ascii="Arial" w:cs="Arial" w:eastAsia="Arial" w:hAnsi="Arial"/>
          <w:b/>
          <w:bCs/>
          <w:color w:val="1B3A5C"/>
          <w:sz w:val="32"/>
          <w:szCs w:val="32"/>
        </w:rPr>
        <w:t xml:space="preserve">3. Outcome Record Schema (Generated at Window Close)</w:t>
      </w:r>
    </w:p>
    <w:p>
      <w:pPr>
        <w:spacing w:after="120" w:line="276"/>
      </w:pPr>
      <w:r>
        <w:rPr>
          <w:rFonts w:ascii="Arial" w:cs="Arial" w:eastAsia="Arial" w:hAnsi="Arial"/>
          <w:sz w:val="20"/>
          <w:szCs w:val="20"/>
        </w:rPr>
        <w:t xml:space="preserve">When the InterventionWindowMonitor emits WINDOW_CLOSED, the IOR Generator batch job assembles the complete Outcome Record by querying KB-20, Flink output topics, and the intervention’s adherence signals.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700"/>
        <w:gridCol w:w="2000"/>
        <w:gridCol w:w="73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3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UUID</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Links to Intervention Record</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Foreign key to the Intervention Record.</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patient_state_at_close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JSON Object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KB-20 snapshot at window close</w:t>
            </w:r>
          </w:p>
        </w:tc>
        <w:tc>
          <w:tcPr>
            <w:tcW w:type="dxa" w:w="7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 structure as patient_state_at_intervention. The ‘after photo.’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metric_deltas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Object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Computed: close minus intervention</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See Section 3.1 for full delta structure.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trajectory_before_intervention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Flink trajectory signal at intervention time</w:t>
            </w:r>
          </w:p>
        </w:tc>
        <w:tc>
          <w:tcPr>
            <w:tcW w:type="dxa" w:w="7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IMPROVING / STABLE / DETERIORATING / UNKNOWN. Captured from the trajectory signal that was active when the intervention was approved.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trajectory_during_observation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Flink trajectory signal at window close</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enum. How did the trajectory change during the observation window?</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trajectory_attribution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Enum</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Computed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Rule-based from before/during combination</w:t>
            </w:r>
          </w:p>
        </w:tc>
        <w:tc>
          <w:tcPr>
            <w:tcW w:type="dxa" w:w="7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See Section 3.2 for attribution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adherence_assessment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Object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Multi-source (see Section 4)</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Composite adherence score + per-signal adherence.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confounders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JSON Object</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Multi-source (see Section 5)</w:t>
            </w:r>
          </w:p>
        </w:tc>
        <w:tc>
          <w:tcPr>
            <w:tcW w:type="dxa" w:w="7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Concurrent interventions, external events, lab changes, dietary changes, seasonal flags.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data_completeness_score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 0–1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Computed from data availability</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See Section 3.3 for computation.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meal_response_profile_change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JSON Object (nullable)</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meal data available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MealPatternAggregator comparison</w:t>
            </w:r>
          </w:p>
        </w:tc>
        <w:tc>
          <w:tcPr>
            <w:tcW w:type="dxa" w:w="7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Did the patient’s meal-response profile improve during the window? Particularly relevant for nutrition interventions.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bp_variability_change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 Object (nullable)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BP data available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BP Variability Engine comparison</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Did ARV improve? Did morning surge change? Did dipping pattern change?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closed_at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ISO 8601</w:t>
            </w:r>
          </w:p>
        </w:tc>
        <w:tc>
          <w:tcPr>
            <w:tcW w:type="dxa" w:w="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System clock</w:t>
            </w:r>
          </w:p>
        </w:tc>
        <w:tc>
          <w:tcPr>
            <w:tcW w:type="dxa" w:w="7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When the outcome record was assembled.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ior_version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String</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Hard-coded</w:t>
            </w:r>
          </w:p>
        </w:tc>
        <w:tc>
          <w:tcPr>
            <w:tcW w:type="dxa" w:w="7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r>
    </w:tbl>
    <w:p>
      <w:pPr>
        <w:pStyle w:val="Heading2"/>
        <w:spacing w:after="160" w:before="280"/>
      </w:pPr>
      <w:r>
        <w:rPr>
          <w:rFonts w:ascii="Arial" w:cs="Arial" w:eastAsia="Arial" w:hAnsi="Arial"/>
          <w:b/>
          <w:bCs/>
          <w:color w:val="2E75B6"/>
          <w:sz w:val="28"/>
          <w:szCs w:val="28"/>
        </w:rPr>
        <w:t xml:space="preserve">3.1 Metric Deltas Structure</w:t>
      </w:r>
    </w:p>
    <w:p>
      <w:pPr>
        <w:spacing w:after="120" w:line="276"/>
      </w:pPr>
      <w:r>
        <w:rPr>
          <w:rFonts w:ascii="Arial" w:cs="Arial" w:eastAsia="Arial" w:hAnsi="Arial"/>
          <w:sz w:val="20"/>
          <w:szCs w:val="20"/>
        </w:rPr>
        <w:t xml:space="preserve">All deltas are computed as close_value minus intervention_value. Negative values indicate improvement for most metrics (FBG down, SBP down, weight down). Positive values indicate improvement for TIR (time-in-range up).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400"/>
        <w:gridCol w:w="2200"/>
        <w:gridCol w:w="46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Delta Field</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Improvement Direction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Clinical Significance Threshold</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Tracked For (Intervention Types)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fbg_delta_mg_dl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fbg_7d_avg(close) - fbg_7d_avg(intervention)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Negative = better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 mg/dL = clinically meaningful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MEDICATION_* and LIFESTYLE_*</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sbp_delta_mmhg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sbp_7d_avg(close) - sbp_7d_avg(intervention)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Negative = better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 mmHg = meaningful; ≤10 = substantial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All MEDICATION_*, LIFESTYLE_*, NUTRITION_SODIUM_*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dbp_delta_mmhg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dbp_7d_avg(close) - dbp_7d_avg(intervention)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Negative = better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mmHg = meaningful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Same as SBP</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weight_delta_kg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weight_kg(close) - weight_kg(intervention)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Negative = better (for overweight patients)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 kg in 28 days = meaningful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MEDICATION_ADD (SGLT2i, GLP-1RA), LIFESTYLE_*, NUTRITION_*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tir_delta_pct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tir_7d(close) - tir_7d(intervention)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Positive = better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 meaningful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 (glucose drugs). Tier 1/2 CGM only.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glucose_cv_delta_pct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cv_7d(close) - cv_7d(intervention)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Negative = better (less variability)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 = meaningful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 as TIR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egfr_delta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egfr(close) - egfr(intervention)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Context-dependent (initial dip expected for SGLT2i/RASi/finerenone)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Dip ≤25%: expected. Dip &gt;25%: flag for review.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MEDICATION_ADD for Pillar 1, 2, 4. MEDICATION_DOSE_INCREASE for RASi.</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uacr_delta_pct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(uacr(close) - uacr(intervention)) / uacr(intervention) × 100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Negative = better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≤20% reduction = meaningful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MEDICATION_ADD for Pillar 2, 4. NUTRITION_SODIUM_*.</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potassium_delta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K+(close) - K+(intervention)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 positive acceptable; large positive dangerous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Rise &gt;0.5 mEq/L = flag. K+ &gt;5.5 = safety alert.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MEDICATION_ADD for Pillar 1, 4.</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mhri_delta</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mhri_composite(close) - mhri_composite(intervention)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Positive = better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 points = meaningful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All intervention types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arv_sbp_delta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arv_sbp_7d(close) - arv_sbp_7d(intervention)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Negative = better (less variability)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 mmHg = meaningful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 (antihypertensives). From Deep Dive #1.</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morning_surge_delta</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surge_7d_avg(close) - surge_7d_avg(intervention)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Negative = better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 mmHg = meaningful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 timing changes. Evening dosing.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meal_excursion_delta (for target meal slot)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avg_excursion(target_slot, close_week) - avg_excursion(target_slot, intervention_week)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Negative = better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 mg/dL = meaningful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NUTRITION_FOOD_CHANGE, NUTRITION_PORTION_CHANGE. From Deep Dive #2.</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daily_sodium_delta_mg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avg_daily_sodium(close_week) - avg_daily_sodium(intervention_week)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Negative = better</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≤500 mg/day = meaningful</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NUTRITION_SODIUM_REDUCTION. From Deep Dive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hypoglycemia_frequency_delta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hypo_events_14d(close) - hypo_events_14d(intervention)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Negative = better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Any reduction = clinically meaningful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MEDICATION_REMOVE (SU), MEDICATION_DOSE_DECREASE (insulin)</w:t>
            </w:r>
          </w:p>
        </w:tc>
      </w:tr>
    </w:tbl>
    <w:p>
      <w:r>
        <w:br w:type="page"/>
      </w:r>
    </w:p>
    <w:p>
      <w:pPr>
        <w:pStyle w:val="Heading2"/>
        <w:spacing w:after="160" w:before="280"/>
      </w:pPr>
      <w:r>
        <w:rPr>
          <w:rFonts w:ascii="Arial" w:cs="Arial" w:eastAsia="Arial" w:hAnsi="Arial"/>
          <w:b/>
          <w:bCs/>
          <w:color w:val="2E75B6"/>
          <w:sz w:val="28"/>
          <w:szCs w:val="28"/>
        </w:rPr>
        <w:t xml:space="preserve">3.2 Trajectory Attribution Logic</w:t>
      </w:r>
    </w:p>
    <w:p>
      <w:pPr>
        <w:spacing w:after="120" w:line="276"/>
      </w:pPr>
      <w:r>
        <w:rPr>
          <w:rFonts w:ascii="Arial" w:cs="Arial" w:eastAsia="Arial" w:hAnsi="Arial"/>
          <w:sz w:val="20"/>
          <w:szCs w:val="20"/>
        </w:rPr>
        <w:t xml:space="preserve">This is the key mechanism for moving beyond correlation toward attribution. The combination of trajectory-before and trajectory-during tells a story: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600"/>
        <w:gridCol w:w="1200"/>
        <w:gridCol w:w="668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Trajectory Before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Trajectory During</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Attribution Classification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6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DETERIORATING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IMPROVING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INTERVENTION_REVERSED_DECLINE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was getting worse, intervention started, patient improved. Strongest observational signal for intervention effectiveness.</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DETERIORATING</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STABLE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INTERVENTION_ARRESTED_DECLINE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MODERATE-HIGH</w:t>
            </w:r>
          </w:p>
        </w:tc>
        <w:tc>
          <w:tcPr>
            <w:tcW w:type="dxa" w:w="6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 was getting worse, intervention stabilised them. Meaningful benefit even though improvement wasn’t achieved.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DETERIORATING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DETERIORATING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INTERVENTION_INSUFFICIENT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was declining and continued to decline despite intervention. May indicate: wrong intervention, insufficient dose, non-adherence, or irreversible disease progression.</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STABLE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IMPROVING</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INTERVENTION_IMPROVED_STABLE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MODERATE</w:t>
            </w:r>
          </w:p>
        </w:tc>
        <w:tc>
          <w:tcPr>
            <w:tcW w:type="dxa" w:w="6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 was stable, intervention produced improvement. Good signal but could be confounded by concurrent lifestyle changes.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NO_CHANGE_DETECTED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change. May mean: intervention not needed, too early for effect, or non-adherence nullified effect.</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STABLE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DETERIORATING</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POSSIBLE_ADVERSE_EFFECT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MODERATE</w:t>
            </w:r>
          </w:p>
        </w:tc>
        <w:tc>
          <w:tcPr>
            <w:tcW w:type="dxa" w:w="6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 was stable but deteriorated after intervention. Investigate: adverse drug reaction? Dose too high? New comorbidity?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IMPROVING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IMPROVING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IMPROVEMENT_CONTINUED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LOW</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was already improving. Cannot attribute continued improvement to the intervention — it may have happened anyway. Record is valid data but low attribution confidence.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IMPROVING</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STABLE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IMPROVEMENT_PLATEAUED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LOW</w:t>
            </w:r>
          </w:p>
        </w:tc>
        <w:tc>
          <w:tcPr>
            <w:tcW w:type="dxa" w:w="6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Natural leveling off. Cannot attribute to intervention.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IMPROVING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DETERIORATING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IMPROVEMENT_REVERSED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c>
          <w:tcPr>
            <w:tcW w:type="dxa" w:w="6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 was improving, then deteriorated after intervention. Could indicate adverse effect or coincidental decline.</w:t>
            </w:r>
          </w:p>
        </w:tc>
      </w:tr>
    </w:tbl>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Trajectory attribution is a LABEL, not a clinical decision. The label informs the physician (‘this intervention reversed a decline’ vs ‘the patient was already improving’) and feeds into retrospective analysis. It does NOT determine whether the intervention continues or stops. That remains the physician’s judgment based on the full clinical picture.</w:t>
      </w:r>
    </w:p>
    <w:p>
      <w:pPr>
        <w:pStyle w:val="Heading2"/>
        <w:spacing w:after="160" w:before="280"/>
      </w:pPr>
      <w:r>
        <w:rPr>
          <w:rFonts w:ascii="Arial" w:cs="Arial" w:eastAsia="Arial" w:hAnsi="Arial"/>
          <w:b/>
          <w:bCs/>
          <w:color w:val="2E75B6"/>
          <w:sz w:val="28"/>
          <w:szCs w:val="28"/>
        </w:rPr>
        <w:t xml:space="preserve">3.3 Data Completeness Score</w:t>
      </w:r>
    </w:p>
    <w:p>
      <w:pPr>
        <w:spacing w:after="120" w:line="276"/>
      </w:pPr>
      <w:r>
        <w:rPr>
          <w:rFonts w:ascii="Arial" w:cs="Arial" w:eastAsia="Arial" w:hAnsi="Arial"/>
          <w:sz w:val="20"/>
          <w:szCs w:val="20"/>
        </w:rPr>
        <w:t xml:space="preserve">Computed as a weighted average of data availability during the observation window:</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6000"/>
        <w:gridCol w:w="46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 for Contribution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Glucose data density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0.25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days_with_glucose_reading / observation_window_days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Tier 1: expect 100%. Tier 2: expect ~60%. Tier 3: expect ~30%.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BP data density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0.25</w:t>
            </w:r>
          </w:p>
        </w:tc>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days_with_bp_reading / observation_window_days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Expect 70%+ for twice-daily cuff patients.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 logging consistency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0.15</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meals_logged / expected_meals (3/day × days for Tier 1, 1/day for Tier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Expect 50%+ for meaningful meal-response tracking.</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Lab availability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0.15</w:t>
            </w:r>
          </w:p>
        </w:tc>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 if relevant labs (eGFR, K+, UACR) available at both intervention and close. 0.5 if available at one. 0.0 if neither.</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 28-day medication windows, labs may not be repeated — this component may be 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Activity data availability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0.10</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days_with_activity_data / observation_window_days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wearable or manual entry.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Adherence data availability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0.10</w:t>
            </w:r>
          </w:p>
        </w:tc>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1.0 if adherence can be assessed. 0.0 if no adherence signals.</w:t>
            </w:r>
          </w:p>
        </w:tc>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 reminders, pharmacy refills, or activity tracking.</w:t>
            </w:r>
          </w:p>
        </w:tc>
      </w:tr>
    </w:tbl>
    <w:p>
      <w:pPr>
        <w:spacing w:after="120" w:line="276"/>
      </w:pPr>
      <w:r>
        <w:rPr>
          <w:rFonts w:ascii="Arial" w:cs="Arial" w:eastAsia="Arial" w:hAnsi="Arial"/>
          <w:sz w:val="20"/>
          <w:szCs w:val="20"/>
        </w:rPr>
        <w:t xml:space="preserve">Records with data_completeness_score &lt; 0.40 are classified as CLOSED_INSUFFICIENT_DATA and excluded from the training dataset for KB-23’s similar-patient queries. They are retained for secondary analysis.</w:t>
      </w:r>
    </w:p>
    <w:p>
      <w:r>
        <w:br w:type="page"/>
      </w:r>
    </w:p>
    <w:p>
      <w:pPr>
        <w:pStyle w:val="Heading1"/>
        <w:spacing w:after="200" w:before="360"/>
      </w:pPr>
      <w:r>
        <w:rPr>
          <w:rFonts w:ascii="Arial" w:cs="Arial" w:eastAsia="Arial" w:hAnsi="Arial"/>
          <w:b/>
          <w:bCs/>
          <w:color w:val="1B3A5C"/>
          <w:sz w:val="32"/>
          <w:szCs w:val="32"/>
        </w:rPr>
        <w:t xml:space="preserve">4. Adherence Assessment</w:t>
      </w:r>
    </w:p>
    <w:p>
      <w:pPr>
        <w:spacing w:after="120" w:line="276"/>
      </w:pPr>
      <w:r>
        <w:rPr>
          <w:rFonts w:ascii="Arial" w:cs="Arial" w:eastAsia="Arial" w:hAnsi="Arial"/>
          <w:sz w:val="20"/>
          <w:szCs w:val="20"/>
        </w:rPr>
        <w:t xml:space="preserve">An intervention that the patient didn’t actually follow is a non-intervention, not a failed intervention. Without adherence data, you cannot distinguish ‘this drug doesn’t work’ from ‘the patient didn’t take it.’ The adherence assessment for each IOR is composed from multiple signal sources.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00"/>
        <w:gridCol w:w="38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Intervention Type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Adherence Signal Source</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Assessment Method</w:t>
            </w:r>
          </w:p>
        </w:tc>
        <w:tc>
          <w:tcPr>
            <w:tcW w:type="dxa" w:w="3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MEDICATION_ADD / DOSE_CHANGE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KB-21 medication reminder ack (S5 signal: Taken/Missed buttons)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Per-dose adherence: taken_count / expected_dose_count over observation window. KB-21 already computes this.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 (never took it) to 1.0 (every dose taken)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MEDICATION_ADD / DOSE_CHANGE</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Pharmacy refill data (where available via health record integration)</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pharmacy data available: refill within expected timeframe = 1.0, overdue refill = 0.5, no refill = 0.0. Higher confidence than self-report.</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0.0 to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MEDICATION_ADD / DOSE_CHANGE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Physiological signal consistency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SGLT2i added and no glucose/weight change after 14 days: suggests non-adherence (or non-response). Indirect signal, LOW confidence.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Binary flag: PHYSIOLOGICAL_SIGNAL_CONSISTENT / INCONSISTENT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LIFESTYLE_ACTIVITY</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Activity data from wearable or phone (steps, exercise sessions)</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Compare actual activity level during window vs. target from intervention_detail. actual_steps_avg / target_steps.</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0.0 to 1.0. Objective if wearable data available.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NUTRITION_FOOD_CHANGE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Meal log analysis from MealPatternAggregator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Did the patient’s meal logs show the prescribed food change? If ‘switch rice to millets at dinner’: count dinners with millets / total dinners logged.</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0.0 to 1.0. Requires meal logging compliance.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NUTRITION_SODIUM_REDUCTION</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Daily sodium estimate trend from MealPatternAggregator</w:t>
            </w:r>
          </w:p>
        </w:tc>
        <w:tc>
          <w:tcPr>
            <w:tcW w:type="dxa" w:w="4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Compare avg_daily_sodium during window vs. pre-intervention. If reduction target was 500 mg/day: actual_reduction / target_reduction.</w:t>
            </w:r>
          </w:p>
        </w:tc>
        <w:tc>
          <w:tcPr>
            <w:tcW w:type="dxa" w:w="3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0.0 to 1.0. Dependent on meal logging + sodium estimation quality.</w:t>
            </w:r>
          </w:p>
        </w:tc>
      </w:tr>
    </w:tbl>
    <w:p>
      <w:pPr>
        <w:pStyle w:val="Heading3"/>
        <w:spacing w:after="120" w:before="200"/>
      </w:pPr>
      <w:r>
        <w:rPr>
          <w:rFonts w:ascii="Arial" w:cs="Arial" w:eastAsia="Arial" w:hAnsi="Arial"/>
          <w:b/>
          <w:bCs/>
          <w:color w:val="404040"/>
          <w:sz w:val="24"/>
          <w:szCs w:val="24"/>
        </w:rPr>
        <w:t xml:space="preserve">Composite Adherence Score</w:t>
      </w:r>
    </w:p>
    <w:p>
      <w:pPr>
        <w:spacing w:after="80"/>
        <w:ind w:left="360"/>
      </w:pPr>
      <w:r>
        <w:rPr>
          <w:rFonts w:ascii="Arial" w:cs="Arial" w:eastAsia="Arial" w:hAnsi="Arial"/>
          <w:sz w:val="19"/>
          <w:szCs w:val="19"/>
        </w:rPr>
        <w:t xml:space="preserve">For medication interventions: adherence_score = max(reminder_ack_score, pharmacy_refill_score) — use the higher-confidence source.</w:t>
      </w:r>
    </w:p>
    <w:p>
      <w:pPr>
        <w:spacing w:after="80"/>
        <w:ind w:left="360"/>
      </w:pPr>
      <w:r>
        <w:rPr>
          <w:rFonts w:ascii="Arial" w:cs="Arial" w:eastAsia="Arial" w:hAnsi="Arial"/>
          <w:sz w:val="19"/>
          <w:szCs w:val="19"/>
        </w:rPr>
        <w:t xml:space="preserve">For lifestyle interventions: adherence_score = activity_data_score (if wearable available) OR 0.5 (default if no objective data — assume partial adherence).</w:t>
      </w:r>
    </w:p>
    <w:p>
      <w:pPr>
        <w:spacing w:after="80"/>
        <w:ind w:left="360"/>
      </w:pPr>
      <w:r>
        <w:rPr>
          <w:rFonts w:ascii="Arial" w:cs="Arial" w:eastAsia="Arial" w:hAnsi="Arial"/>
          <w:sz w:val="19"/>
          <w:szCs w:val="19"/>
        </w:rPr>
        <w:t xml:space="preserve">For nutrition interventions: adherence_score = meal_log_analysis_score (if meal logging compliance &gt; 50%) OR null (insufficient data).</w:t>
      </w:r>
    </w:p>
    <w:p>
      <w:pPr>
        <w:spacing w:after="80"/>
        <w:ind w:left="360"/>
      </w:pPr>
      <w:r>
        <w:rPr>
          <w:rFonts w:ascii="Arial" w:cs="Arial" w:eastAsia="Arial" w:hAnsi="Arial"/>
          <w:sz w:val="19"/>
          <w:szCs w:val="19"/>
        </w:rPr>
        <w:t xml:space="preserve">adherence_data_quality: HIGH (objective wearable/pharmacy data), MODERATE (app self-report), LOW (no adherence data, default assumed).</w:t>
      </w:r>
    </w:p>
    <w:p>
      <w:pPr>
        <w:pBdr>
          <w:left w:val="single" w:color="2E75B6" w:sz="6" w:space="8"/>
        </w:pBdr>
        <w:spacing w:after="120"/>
        <w:ind w:left="240"/>
      </w:pPr>
      <w:r>
        <w:rPr>
          <w:rFonts w:ascii="Arial" w:cs="Arial" w:eastAsia="Arial" w:hAnsi="Arial"/>
          <w:i/>
          <w:iCs/>
          <w:color w:val="555555"/>
          <w:sz w:val="20"/>
          <w:szCs w:val="20"/>
        </w:rPr>
        <w:t xml:space="preserve">An IOR with adherence_score &lt; 0.30 for a medication intervention should be flagged: ‘Low adherence detected. Intervention outcome may not reflect drug efficacy.’ These records are retained in the IOR store but weighted lower in similar-patient queries. They are, however, valuable for a different analysis: ‘What predicts non-adherence?’ — which feeds back into KB-21’s behavioral intelligence.</w:t>
      </w:r>
    </w:p>
    <w:p>
      <w:r>
        <w:br w:type="page"/>
      </w:r>
    </w:p>
    <w:p>
      <w:pPr>
        <w:pStyle w:val="Heading1"/>
        <w:spacing w:after="200" w:before="360"/>
      </w:pPr>
      <w:r>
        <w:rPr>
          <w:rFonts w:ascii="Arial" w:cs="Arial" w:eastAsia="Arial" w:hAnsi="Arial"/>
          <w:b/>
          <w:bCs/>
          <w:color w:val="1B3A5C"/>
          <w:sz w:val="32"/>
          <w:szCs w:val="32"/>
        </w:rPr>
        <w:t xml:space="preserve">5. Confounder Capture</w:t>
      </w:r>
    </w:p>
    <w:p>
      <w:pPr>
        <w:spacing w:after="120" w:line="276"/>
      </w:pPr>
      <w:r>
        <w:rPr>
          <w:rFonts w:ascii="Arial" w:cs="Arial" w:eastAsia="Arial" w:hAnsi="Arial"/>
          <w:sz w:val="20"/>
          <w:szCs w:val="20"/>
        </w:rPr>
        <w:t xml:space="preserve">Confounders are anything that changed during the observation window OTHER than the target intervention. Perfect confounder capture is impossible in observational data, but systematic capture of known confounders enables post-hoc statistical adjustment.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600"/>
        <w:gridCol w:w="48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Confounder Category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It’s Captured</w:t>
            </w:r>
          </w:p>
        </w:tc>
        <w:tc>
          <w:tcPr>
            <w:tcW w:type="dxa" w:w="4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 on IOR Quality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Concurrent interventions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InterventionWindowMonitor (Flink)</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another intervention event arrives during the current observation window, both IOR records are cross-referenced with concurrent_intervention_ids[]. The IOR status may be set to CLOSED_CONFOUNDED if the concurrent intervention affects the same outcome domain.</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 impact. Multi-intervention windows require statistical disentanglement.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Medication changes by other providers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Health record integration (ABDM/MHR sync)</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a hospital discharge summary or specialist visit adds/changes medications during the window, this is captured as an external medication change confounder.</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HIGH impact. External changes are uncontrolled.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Intercurrent illness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Patient-reported symptoms (S18), hospitalisation (S20)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Illness during the observation window is a major confounder for glucose and BP outcomes. Flagged as external_event: {type: ILLNESS, description, date}.</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MODERATE-HIGH. Illness can cause both glucose and BP spikes.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Travel / routine disruption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Patient-reported (special_occasion in meal events or explicit report)</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Travel affects diet, activity, medication timing. Flagged as external_event: {type: TRAVEL}.</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Festival / fasting period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KB-21 cultural calendar (market shim localization bundle)</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Navratri, Ramadan, Chinese New Year fasting. Dietary and metabolic patterns change significantly. Flagged with festival_name and duration.</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MODERATE-HIGH for nutrition interventions.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Seasonal effects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Calendar + historical data</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Monsoon season (reduced activity, increased salt in preserved foods). Winter (BP tends to rise). Summer (dehydration risk with SGLT2i). Flagged as seasonal_flag.</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LOW individually but systematic across population. Useful for population-level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Lab changes during window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ingestion.labs events during observation window</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lab results (HbA1c, eGFR, K+) that arrive during the window are attached as lab_changes_during_window[]. These may change the clinical picture (e.g., eGFR dropping triggers a safety review).</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 Lab changes may indicate disease progression independent of intervention.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Dietary changes unrelated to intervention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MealPatternAggregator comparison</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the intervention is a medication change, but the patient also changed their diet during the window, this is detectable from meal-response patterns shifting. Flagged as dietary_change_during_window.</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MODERATE for medication IORs. Expected for nutrition IORs (the diet change IS the intervention).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Activity level changes unrelated to intervention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Activity data comparison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If the intervention is a medication change, but the patient also increased exercise, detectable from step count / activity session changes.</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MODERATE.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Stress / psychological events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Patient-reported (stress_level in meal context, or dedicated stress reporting)</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Major life events, work stress, family events. Difficult to capture systematically but important for BP outcomes.</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LOW (hard to quantify). Captured as free-text external_event if reported.</w:t>
            </w:r>
          </w:p>
        </w:tc>
      </w:tr>
    </w:tbl>
    <w:p>
      <w:pPr>
        <w:pBdr>
          <w:left w:val="single" w:color="FF8F00" w:sz="6" w:space="8"/>
        </w:pBdr>
        <w:spacing w:after="120"/>
        <w:ind w:left="240"/>
      </w:pPr>
      <w:r>
        <w:rPr>
          <w:rFonts w:ascii="Arial" w:cs="Arial" w:eastAsia="Arial" w:hAnsi="Arial"/>
          <w:b/>
          <w:bCs/>
          <w:color w:val="FF8F00"/>
          <w:sz w:val="20"/>
          <w:szCs w:val="20"/>
        </w:rPr>
        <w:t xml:space="preserve">MARKET SHIM: </w:t>
      </w:r>
      <w:r>
        <w:rPr>
          <w:rFonts w:ascii="Arial" w:cs="Arial" w:eastAsia="Arial" w:hAnsi="Arial"/>
          <w:sz w:val="20"/>
          <w:szCs w:val="20"/>
        </w:rPr>
        <w:t xml:space="preserve">Cultural calendar events come from the localization bundle (Component 7 of Market Shim). Indian festivals (Diwali, Navratri) are different from Australian cultural events (Ramadan for Muslim Australians, Chinese New Year). The confounder capture logic is market-independent — it checks culturalCalendar.isActiveFestival(date) regardless of which festivals are loaded.</w:t>
      </w:r>
    </w:p>
    <w:p>
      <w:r>
        <w:br w:type="page"/>
      </w:r>
    </w:p>
    <w:p>
      <w:pPr>
        <w:pStyle w:val="Heading1"/>
        <w:spacing w:after="200" w:before="360"/>
      </w:pPr>
      <w:r>
        <w:rPr>
          <w:rFonts w:ascii="Arial" w:cs="Arial" w:eastAsia="Arial" w:hAnsi="Arial"/>
          <w:b/>
          <w:bCs/>
          <w:color w:val="1B3A5C"/>
          <w:sz w:val="32"/>
          <w:szCs w:val="32"/>
        </w:rPr>
        <w:t xml:space="preserve">6. The IOR Generator — Batch Job Architecture</w:t>
      </w:r>
    </w:p>
    <w:p>
      <w:pPr>
        <w:spacing w:after="120" w:line="276"/>
      </w:pPr>
      <w:r>
        <w:rPr>
          <w:rFonts w:ascii="Arial" w:cs="Arial" w:eastAsia="Arial" w:hAnsi="Arial"/>
          <w:sz w:val="20"/>
          <w:szCs w:val="20"/>
        </w:rPr>
        <w:t xml:space="preserve">The IOR Generator is NOT a Flink streaming job. It is a scheduled batch process that runs daily, assembling complete Outcome Records for observation windows that closed in the previous 24 hours.</w:t>
      </w:r>
    </w:p>
    <w:p>
      <w:pPr>
        <w:pStyle w:val="Heading2"/>
        <w:spacing w:after="160" w:before="280"/>
      </w:pPr>
      <w:r>
        <w:rPr>
          <w:rFonts w:ascii="Arial" w:cs="Arial" w:eastAsia="Arial" w:hAnsi="Arial"/>
          <w:b/>
          <w:bCs/>
          <w:color w:val="2E75B6"/>
          <w:sz w:val="28"/>
          <w:szCs w:val="28"/>
        </w:rPr>
        <w:t xml:space="preserve">6.1 Job Identity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112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1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Job Name</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ior-generator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Schedule</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Daily at 02:00 UTC (off-peak). Also event-triggered by WINDOW_CLOSED signals from InterventionWindowMonitor.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Runtime</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Kubernetes CronJob (not Flink — this is batch, not streaming)</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Input Sources</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clinical.intervention-window-signals (Kafka, for WINDOW_CLOSED events), KB-20 (PostgreSQL, for patient state snapshots), flink.meal-patterns (Kafka/Iceberg, for meal-response data), flink.trajectory-signals (Kafka, for trajectory before/during), flink.bp-variability-metrics (Kafka, for BP variability change), KB-21 adherence scores (API), ingestion.patient-reported (Kafka/Iceberg, for external events)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Output</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ior_store (PostgreSQL table: intervention_records + outcome_records). Also publishes completed IOR summary to analytics.population topic for de-identified population analysis.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Processing Time</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Estimated &lt;5 minutes per batch (assembling ~50–200 IOR closures per day at 10K patients).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Idempotency</w:t>
            </w:r>
          </w:p>
        </w:tc>
        <w:tc>
          <w:tcPr>
            <w:tcW w:type="dxa" w:w="11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Uses intervention_id as natural key. Re-running the generator for the same window produces identical output (all inputs are immutable snapshots).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Error Handling</w:t>
            </w:r>
          </w:p>
        </w:tc>
        <w:tc>
          <w:tcPr>
            <w:tcW w:type="dxa" w:w="11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If KB-20 snapshot is unavailable for close time (data lag): retry after 6 hours. If still unavailable: set data_completeness_score reduced and proceed. If all retries fail: set status = CLOSED_INSUFFICIENT_DATA.</w:t>
            </w:r>
          </w:p>
        </w:tc>
      </w:tr>
    </w:tbl>
    <w:p>
      <w:pPr>
        <w:pStyle w:val="Heading2"/>
        <w:spacing w:after="160" w:before="280"/>
      </w:pPr>
      <w:r>
        <w:rPr>
          <w:rFonts w:ascii="Arial" w:cs="Arial" w:eastAsia="Arial" w:hAnsi="Arial"/>
          <w:b/>
          <w:bCs/>
          <w:color w:val="2E75B6"/>
          <w:sz w:val="28"/>
          <w:szCs w:val="28"/>
        </w:rPr>
        <w:t xml:space="preserve">6.2 Processing Steps</w:t>
      </w:r>
    </w:p>
    <w:p>
      <w:pPr>
        <w:spacing w:after="80"/>
        <w:ind w:left="360"/>
      </w:pPr>
      <w:r>
        <w:rPr>
          <w:rFonts w:ascii="Arial" w:cs="Arial" w:eastAsia="Arial" w:hAnsi="Arial"/>
          <w:sz w:val="19"/>
          <w:szCs w:val="19"/>
        </w:rPr>
        <w:t xml:space="preserve">Step 1: Query InterventionWindowMonitor output for WINDOW_CLOSED signals received since last batch run.</w:t>
      </w:r>
    </w:p>
    <w:p>
      <w:pPr>
        <w:spacing w:after="80"/>
        <w:ind w:left="360"/>
      </w:pPr>
      <w:r>
        <w:rPr>
          <w:rFonts w:ascii="Arial" w:cs="Arial" w:eastAsia="Arial" w:hAnsi="Arial"/>
          <w:sz w:val="19"/>
          <w:szCs w:val="19"/>
        </w:rPr>
        <w:t xml:space="preserve">Step 2: For each closed window, retrieve the Intervention Record from the ior_store (it was created when WINDOW_OPENED fired).</w:t>
      </w:r>
    </w:p>
    <w:p>
      <w:pPr>
        <w:spacing w:after="80"/>
        <w:ind w:left="360"/>
      </w:pPr>
      <w:r>
        <w:rPr>
          <w:rFonts w:ascii="Arial" w:cs="Arial" w:eastAsia="Arial" w:hAnsi="Arial"/>
          <w:sz w:val="19"/>
          <w:szCs w:val="19"/>
        </w:rPr>
        <w:t xml:space="preserve">Step 3: Capture patient_state_at_close from KB-20 projection at the observation_end timestamp. If the exact timestamp isn’t available (projection rebuilds aren’t instant), use the most recent projection within 24 hours of observation_end.</w:t>
      </w:r>
    </w:p>
    <w:p>
      <w:pPr>
        <w:spacing w:after="80"/>
        <w:ind w:left="360"/>
      </w:pPr>
      <w:r>
        <w:rPr>
          <w:rFonts w:ascii="Arial" w:cs="Arial" w:eastAsia="Arial" w:hAnsi="Arial"/>
          <w:sz w:val="19"/>
          <w:szCs w:val="19"/>
        </w:rPr>
        <w:t xml:space="preserve">Step 4: Compute metric_deltas by subtracting intervention state from close state for all applicable dimensions.</w:t>
      </w:r>
    </w:p>
    <w:p>
      <w:pPr>
        <w:spacing w:after="80"/>
        <w:ind w:left="360"/>
      </w:pPr>
      <w:r>
        <w:rPr>
          <w:rFonts w:ascii="Arial" w:cs="Arial" w:eastAsia="Arial" w:hAnsi="Arial"/>
          <w:sz w:val="19"/>
          <w:szCs w:val="19"/>
        </w:rPr>
        <w:t xml:space="preserve">Step 5: Retrieve trajectory_before_intervention from the Intervention Record (captured at creation time). Retrieve trajectory_during_observation from the most recent Flink trajectory signal within the observation window.</w:t>
      </w:r>
    </w:p>
    <w:p>
      <w:pPr>
        <w:spacing w:after="80"/>
        <w:ind w:left="360"/>
      </w:pPr>
      <w:r>
        <w:rPr>
          <w:rFonts w:ascii="Arial" w:cs="Arial" w:eastAsia="Arial" w:hAnsi="Arial"/>
          <w:sz w:val="19"/>
          <w:szCs w:val="19"/>
        </w:rPr>
        <w:t xml:space="preserve">Step 6: Apply trajectory_attribution logic (Section 3.2) to classify the before/during combination.</w:t>
      </w:r>
    </w:p>
    <w:p>
      <w:pPr>
        <w:spacing w:after="80"/>
        <w:ind w:left="360"/>
      </w:pPr>
      <w:r>
        <w:rPr>
          <w:rFonts w:ascii="Arial" w:cs="Arial" w:eastAsia="Arial" w:hAnsi="Arial"/>
          <w:sz w:val="19"/>
          <w:szCs w:val="19"/>
        </w:rPr>
        <w:t xml:space="preserve">Step 7: Compute adherence_assessment from KB-21 adherence scores and any available objective data (activity, meal logs) during the window.</w:t>
      </w:r>
    </w:p>
    <w:p>
      <w:pPr>
        <w:spacing w:after="80"/>
        <w:ind w:left="360"/>
      </w:pPr>
      <w:r>
        <w:rPr>
          <w:rFonts w:ascii="Arial" w:cs="Arial" w:eastAsia="Arial" w:hAnsi="Arial"/>
          <w:sz w:val="19"/>
          <w:szCs w:val="19"/>
        </w:rPr>
        <w:t xml:space="preserve">Step 8: Assemble confounders: query for concurrent interventions (from InterventionWindowMonitor cross-references), external events (from patient-reported signals during window), lab changes, festival calendar flags, and dietary/activity changes from Flink aggregators.</w:t>
      </w:r>
    </w:p>
    <w:p>
      <w:pPr>
        <w:spacing w:after="80"/>
        <w:ind w:left="360"/>
      </w:pPr>
      <w:r>
        <w:rPr>
          <w:rFonts w:ascii="Arial" w:cs="Arial" w:eastAsia="Arial" w:hAnsi="Arial"/>
          <w:sz w:val="19"/>
          <w:szCs w:val="19"/>
        </w:rPr>
        <w:t xml:space="preserve">Step 9: Compute data_completeness_score from availability of glucose, BP, meal, lab, activity, and adherence data during the window.</w:t>
      </w:r>
    </w:p>
    <w:p>
      <w:pPr>
        <w:spacing w:after="80"/>
        <w:ind w:left="360"/>
      </w:pPr>
      <w:r>
        <w:rPr>
          <w:rFonts w:ascii="Arial" w:cs="Arial" w:eastAsia="Arial" w:hAnsi="Arial"/>
          <w:sz w:val="19"/>
          <w:szCs w:val="19"/>
        </w:rPr>
        <w:t xml:space="preserve">Step 10: Compute meal_response_profile_change (if applicable) and bp_variability_change (if applicable) by comparing weekly patterns at start vs. end of window.</w:t>
      </w:r>
    </w:p>
    <w:p>
      <w:pPr>
        <w:spacing w:after="80"/>
        <w:ind w:left="360"/>
      </w:pPr>
      <w:r>
        <w:rPr>
          <w:rFonts w:ascii="Arial" w:cs="Arial" w:eastAsia="Arial" w:hAnsi="Arial"/>
          <w:sz w:val="19"/>
          <w:szCs w:val="19"/>
        </w:rPr>
        <w:t xml:space="preserve">Step 11: Determine IOR status: CLOSED_COMPLETE (normal), CLOSED_INSUFFICIENT_DATA (completeness &lt; 0.40), CLOSED_CONFOUNDED (&gt;2 concurrent interventions affecting the same domain).</w:t>
      </w:r>
    </w:p>
    <w:p>
      <w:pPr>
        <w:spacing w:after="80"/>
        <w:ind w:left="360"/>
      </w:pPr>
      <w:r>
        <w:rPr>
          <w:rFonts w:ascii="Arial" w:cs="Arial" w:eastAsia="Arial" w:hAnsi="Arial"/>
          <w:sz w:val="19"/>
          <w:szCs w:val="19"/>
        </w:rPr>
        <w:t xml:space="preserve">Step 12: Write the completed Outcome Record to ior_store. Mark the Intervention Record status as final.</w:t>
      </w:r>
    </w:p>
    <w:p>
      <w:pPr>
        <w:spacing w:after="80"/>
        <w:ind w:left="360"/>
      </w:pPr>
      <w:r>
        <w:rPr>
          <w:rFonts w:ascii="Arial" w:cs="Arial" w:eastAsia="Arial" w:hAnsi="Arial"/>
          <w:sz w:val="19"/>
          <w:szCs w:val="19"/>
        </w:rPr>
        <w:t xml:space="preserve">Step 13: Publish a de-identified IOR summary to analytics.population topic for population-level analysis.</w:t>
      </w:r>
    </w:p>
    <w:p>
      <w:r>
        <w:br w:type="page"/>
      </w:r>
    </w:p>
    <w:p>
      <w:pPr>
        <w:pStyle w:val="Heading1"/>
        <w:spacing w:after="200" w:before="360"/>
      </w:pPr>
      <w:r>
        <w:rPr>
          <w:rFonts w:ascii="Arial" w:cs="Arial" w:eastAsia="Arial" w:hAnsi="Arial"/>
          <w:b/>
          <w:bCs/>
          <w:color w:val="1B3A5C"/>
          <w:sz w:val="32"/>
          <w:szCs w:val="32"/>
        </w:rPr>
        <w:t xml:space="preserve">7. IOR Store — Database Design</w:t>
      </w:r>
    </w:p>
    <w:p>
      <w:pPr>
        <w:spacing w:after="120" w:line="276"/>
      </w:pPr>
      <w:r>
        <w:rPr>
          <w:rFonts w:ascii="Arial" w:cs="Arial" w:eastAsia="Arial" w:hAnsi="Arial"/>
          <w:sz w:val="20"/>
          <w:szCs w:val="20"/>
        </w:rPr>
        <w:t xml:space="preserve">The IOR store is a PostgreSQL database (same RDS instance as KB-20, separate schema). Two primary tables with supporting indices for KB-23 similar-patient queries.</w:t>
      </w:r>
    </w:p>
    <w:p>
      <w:pPr>
        <w:pStyle w:val="Heading2"/>
        <w:spacing w:after="160" w:before="280"/>
      </w:pPr>
      <w:r>
        <w:rPr>
          <w:rFonts w:ascii="Arial" w:cs="Arial" w:eastAsia="Arial" w:hAnsi="Arial"/>
          <w:b/>
          <w:bCs/>
          <w:color w:val="2E75B6"/>
          <w:sz w:val="28"/>
          <w:szCs w:val="28"/>
        </w:rPr>
        <w:t xml:space="preserve">7.1 Table: intervention_records</w:t>
      </w:r>
    </w:p>
    <w:p>
      <w:pPr>
        <w:spacing w:after="120" w:line="276"/>
      </w:pPr>
      <w:r>
        <w:rPr>
          <w:rFonts w:ascii="Arial" w:cs="Arial" w:eastAsia="Arial" w:hAnsi="Arial"/>
          <w:sz w:val="20"/>
          <w:szCs w:val="20"/>
        </w:rPr>
        <w:t xml:space="preserve">One row per intervention. Created when WINDOW_OPENED fires. Updated with status when WINDOW_CLOSED fires.</w:t>
      </w:r>
    </w:p>
    <w:p>
      <w:pPr>
        <w:pStyle w:val="Heading2"/>
        <w:spacing w:after="160" w:before="280"/>
      </w:pPr>
      <w:r>
        <w:rPr>
          <w:rFonts w:ascii="Arial" w:cs="Arial" w:eastAsia="Arial" w:hAnsi="Arial"/>
          <w:b/>
          <w:bCs/>
          <w:color w:val="2E75B6"/>
          <w:sz w:val="28"/>
          <w:szCs w:val="28"/>
        </w:rPr>
        <w:t xml:space="preserve">7.2 Table: outcome_records</w:t>
      </w:r>
    </w:p>
    <w:p>
      <w:pPr>
        <w:spacing w:after="120" w:line="276"/>
      </w:pPr>
      <w:r>
        <w:rPr>
          <w:rFonts w:ascii="Arial" w:cs="Arial" w:eastAsia="Arial" w:hAnsi="Arial"/>
          <w:sz w:val="20"/>
          <w:szCs w:val="20"/>
        </w:rPr>
        <w:t xml:space="preserve">One row per completed intervention. Created by the IOR Generator at window close. Linked to intervention_records via intervention_id.</w:t>
      </w:r>
    </w:p>
    <w:p>
      <w:pPr>
        <w:pStyle w:val="Heading2"/>
        <w:spacing w:after="160" w:before="280"/>
      </w:pPr>
      <w:r>
        <w:rPr>
          <w:rFonts w:ascii="Arial" w:cs="Arial" w:eastAsia="Arial" w:hAnsi="Arial"/>
          <w:b/>
          <w:bCs/>
          <w:color w:val="2E75B6"/>
          <w:sz w:val="28"/>
          <w:szCs w:val="28"/>
        </w:rPr>
        <w:t xml:space="preserve">7.3 Indexing Strategy for Similar-Patient Queries</w:t>
      </w:r>
    </w:p>
    <w:p>
      <w:pPr>
        <w:spacing w:after="120" w:line="276"/>
      </w:pPr>
      <w:r>
        <w:rPr>
          <w:rFonts w:ascii="Arial" w:cs="Arial" w:eastAsia="Arial" w:hAnsi="Arial"/>
          <w:sz w:val="20"/>
          <w:szCs w:val="20"/>
        </w:rPr>
        <w:t xml:space="preserve">KB-23’s Decision Card generation queries the IOR store: ‘For patients similar to this one who received this intervention, what was the outcome?’ This query pattern requires specific indices.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gridCol w:w="42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Query Pattern</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SQL Pattern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Index Required</w:t>
            </w:r>
          </w:p>
        </w:tc>
        <w:tc>
          <w:tcPr>
            <w:tcW w:type="dxa" w:w="4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Expected Performance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By intervention type + drug class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WHERE intervention_type = ? AND drug_class =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idx_intervention_type_drug_class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B-tree, fast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By phenotype cluster + intervention</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WHERE phenotype_cluster = ? AND intervention_type = ? AND drug_class = ?</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idx_phenotype_intervention</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B-tree composite. Most common query for similar-patient.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By baseline HbA1c range + drug class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WHERE hba1c_at_intervention BETWEEN ? AND ? AND drug_class =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idx_hba1c_range_drug</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Requires extracting hba1c from patient_state_at_intervention JSONB. Use generated column or materialised view.</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By baseline eGFR range + drug class</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WHERE egfr_at_intervention BETWEEN ? AND ? AND drug_class = ?</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idx_egfr_range_drug</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Same approach. Critical for renal-protective drug queries.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By status (exclude incomplete)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WHERE status = ‘CLOSED_COMPLETE’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 index on status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Filters out ~10–20% of records that are INSUFFICIENT or CONFOUNDED.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By time (recent IORs first)</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ORDER BY closed_at DESC</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idx_closed_at_desc</w:t>
            </w:r>
          </w:p>
        </w:tc>
        <w:tc>
          <w:tcPr>
            <w:tcW w:type="dxa" w:w="4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B-tree descending. Prefer recent outcomes over old ones.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By attribution confidence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WHERE trajectory_attribution IN (‘INTERVENTION_REVERSED_DECLINE’, ‘INTERVENTION_ARRESTED_DECLINE’, ‘INTERVENTION_IMPROVED_STABLE’)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 index on high-confidence attributions</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~30–40% of records. These are the most informative for similar-patient insights.</w:t>
            </w:r>
          </w:p>
        </w:tc>
      </w:tr>
    </w:tbl>
    <w:p>
      <w:pPr>
        <w:pStyle w:val="Heading2"/>
        <w:spacing w:after="160" w:before="280"/>
      </w:pPr>
      <w:r>
        <w:rPr>
          <w:rFonts w:ascii="Arial" w:cs="Arial" w:eastAsia="Arial" w:hAnsi="Arial"/>
          <w:b/>
          <w:bCs/>
          <w:color w:val="2E75B6"/>
          <w:sz w:val="28"/>
          <w:szCs w:val="28"/>
        </w:rPr>
        <w:t xml:space="preserve">7.4 Similar-Patient Query Template</w:t>
      </w:r>
    </w:p>
    <w:p>
      <w:pPr>
        <w:spacing w:after="120" w:line="276"/>
      </w:pPr>
      <w:r>
        <w:rPr>
          <w:rFonts w:ascii="Arial" w:cs="Arial" w:eastAsia="Arial" w:hAnsi="Arial"/>
          <w:sz w:val="20"/>
          <w:szCs w:val="20"/>
        </w:rPr>
        <w:t xml:space="preserve">When KB-23 generates a PILLAR_GAP Decision Card recommending empagliflozin, it queries the IOR store:</w:t>
      </w:r>
    </w:p>
    <w:p>
      <w:pPr>
        <w:spacing w:after="200"/>
        <w:ind w:left="360"/>
      </w:pPr>
      <w:r>
        <w:rPr>
          <w:rFonts w:ascii="Courier New" w:cs="Courier New" w:eastAsia="Courier New" w:hAnsi="Courier New"/>
          <w:sz w:val="16"/>
          <w:szCs w:val="16"/>
        </w:rPr>
        <w:t xml:space="preserve">SELECT avg(fbg_delta_mg_dl), avg(sbp_delta_mmhg), avg(weight_delta_kg), avg(egfr_delta), count(*) FROM outcome_records o JOIN intervention_records i ON o.intervention_id = i.intervention_id WHERE i.drug_class = ‘SGLT2I’ AND i.intervention_type = ‘MEDICATION_ADD’ AND i.phenotype_cluster = [patient’s cluster] AND i.status = ‘CLOSED_COMPLETE’ AND o.adherence_score &gt; 0.5 AND o.trajectory_attribution IN (‘INTERVENTION_REVERSED_DECLINE’, ‘INTERVENTION_ARRESTED_DECLINE’, ‘INTERVENTION_IMPROVED_STABLE’)</w:t>
      </w:r>
    </w:p>
    <w:p>
      <w:pPr>
        <w:spacing w:after="120" w:line="276"/>
      </w:pPr>
      <w:r>
        <w:rPr>
          <w:rFonts w:ascii="Arial" w:cs="Arial" w:eastAsia="Arial" w:hAnsi="Arial"/>
          <w:sz w:val="20"/>
          <w:szCs w:val="20"/>
        </w:rPr>
        <w:t xml:space="preserve">Result (example): avg FBG −18 mg/dL, avg SBP −4 mmHg, avg weight −1.5 kg, avg eGFR dip −8%, from 47 similar patients.</w:t>
      </w:r>
    </w:p>
    <w:p>
      <w:pPr>
        <w:spacing w:after="120" w:line="276"/>
      </w:pPr>
      <w:r>
        <w:rPr>
          <w:rFonts w:ascii="Arial" w:cs="Arial" w:eastAsia="Arial" w:hAnsi="Arial"/>
          <w:sz w:val="20"/>
          <w:szCs w:val="20"/>
        </w:rPr>
        <w:t xml:space="preserve">This result is presented in the Decision Card: ‘For 47 patients with your profile who started empagliflozin, the observed outcomes at 28 days were: FBG −18 mg/dL, SBP −4 mmHg, weight −1.5 kg. eGFR dipped 8% initially (expected and protective).’</w:t>
      </w:r>
    </w:p>
    <w:p>
      <w:pPr>
        <w:pBdr>
          <w:left w:val="single" w:color="2E75B6" w:sz="6" w:space="8"/>
        </w:pBdr>
        <w:spacing w:after="120"/>
        <w:ind w:left="240"/>
      </w:pPr>
      <w:r>
        <w:rPr>
          <w:rFonts w:ascii="Arial" w:cs="Arial" w:eastAsia="Arial" w:hAnsi="Arial"/>
          <w:i/>
          <w:iCs/>
          <w:color w:val="555555"/>
          <w:sz w:val="20"/>
          <w:szCs w:val="20"/>
        </w:rPr>
        <w:t xml:space="preserve">The similar-patient query requires ≥30 matching records with status CLOSED_COMPLETE and adherence &gt; 0.5 to be shown in the Decision Card. Below 30 records, the confidence interval is too wide to be clinically useful. The card shows ‘Insufficient outcome data for similar patients’ instead.</w:t>
      </w:r>
    </w:p>
    <w:p>
      <w:r>
        <w:br w:type="page"/>
      </w:r>
    </w:p>
    <w:p>
      <w:pPr>
        <w:pStyle w:val="Heading1"/>
        <w:spacing w:after="200" w:before="360"/>
      </w:pPr>
      <w:r>
        <w:rPr>
          <w:rFonts w:ascii="Arial" w:cs="Arial" w:eastAsia="Arial" w:hAnsi="Arial"/>
          <w:b/>
          <w:bCs/>
          <w:color w:val="1B3A5C"/>
          <w:sz w:val="32"/>
          <w:szCs w:val="32"/>
        </w:rPr>
        <w:t xml:space="preserve">8. Physician Feedback as IOR Input</w:t>
      </w:r>
    </w:p>
    <w:p>
      <w:pPr>
        <w:spacing w:after="120" w:line="276"/>
      </w:pPr>
      <w:r>
        <w:rPr>
          <w:rFonts w:ascii="Arial" w:cs="Arial" w:eastAsia="Arial" w:hAnsi="Arial"/>
          <w:sz w:val="20"/>
          <w:szCs w:val="20"/>
        </w:rPr>
        <w:t xml:space="preserve">The physician’s response to the Decision Card (approve/modify/reject/defer) is itself captured in the IOR system. This creates a second learning loop alongside the clinical outcome loop.</w:t>
      </w:r>
    </w:p>
    <w:p>
      <w:pPr>
        <w:pStyle w:val="Heading2"/>
        <w:spacing w:after="160" w:before="280"/>
      </w:pPr>
      <w:r>
        <w:rPr>
          <w:rFonts w:ascii="Arial" w:cs="Arial" w:eastAsia="Arial" w:hAnsi="Arial"/>
          <w:b/>
          <w:bCs/>
          <w:color w:val="2E75B6"/>
          <w:sz w:val="28"/>
          <w:szCs w:val="28"/>
        </w:rPr>
        <w:t xml:space="preserve">8.1 What Physician Feedback Adds to the IOR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80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Feedback Element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Stored In</w:t>
            </w:r>
          </w:p>
        </w:tc>
        <w:tc>
          <w:tcPr>
            <w:tcW w:type="dxa" w:w="8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Analysis Value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physician_action (APPROVED / MODIFIED / REJECTED / DEFERRED)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 Record: physician_action field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Recommendation acceptance rate by drug class, by patient profile, by physician. Target: 70% at 6 months, 85% at 12 months.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modification_detail (if MODIFIED)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Intervention Record: modification_detail JSON</w:t>
            </w:r>
          </w:p>
        </w:tc>
        <w:tc>
          <w:tcPr>
            <w:tcW w:type="dxa" w:w="8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Pattern detection: if physicians consistently halve the dose for elderly patients, KB-23 should pre-adjust. Monthly batch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rejection_reason (if REJECTED)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KB-23 physician feedback store</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Categorised reasons: CONTRAINDICATION_KNOWN (feeds KB-24 safety rule enrichment), PATIENT_PREFERENCE (feeds patient preference model), COST_BARRIER (feeds pharma shim affordability), ALREADY_TRIED (feeds medication history check), CLINICAL_JUDGMENT (free-text for review).</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physician_alternative (if REJECTED/MODIFIED)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KB-23 physician feedback store</w:t>
            </w:r>
          </w:p>
        </w:tc>
        <w:tc>
          <w:tcPr>
            <w:tcW w:type="dxa" w:w="8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What the physician chose instead. Creates an ‘expert preference’ dataset: given this patient state, experienced clinicians choose X when they disagree with the system.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response_time_minutes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 Record</w:t>
            </w:r>
          </w:p>
        </w:tc>
        <w:tc>
          <w:tcPr>
            <w:tcW w:type="dxa" w:w="8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long between card generation and physician action. Long delays may indicate unclear cards or low-priority conditions.</w:t>
            </w:r>
          </w:p>
        </w:tc>
      </w:tr>
    </w:tbl>
    <w:p>
      <w:pPr>
        <w:pStyle w:val="Heading2"/>
        <w:spacing w:after="160" w:before="280"/>
      </w:pPr>
      <w:r>
        <w:rPr>
          <w:rFonts w:ascii="Arial" w:cs="Arial" w:eastAsia="Arial" w:hAnsi="Arial"/>
          <w:b/>
          <w:bCs/>
          <w:color w:val="2E75B6"/>
          <w:sz w:val="28"/>
          <w:szCs w:val="28"/>
        </w:rPr>
        <w:t xml:space="preserve">8.2 Feedback-Driven System Improvement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60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Rejection pattern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Drug class rejected &gt;30% of the time across all physicians</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Clinical team reviews rejection reasons. If COST_BARRIER dominant: update pharma shim affordability. If CONTRAINDICATION_KNOWN: add new KB-24 safety rule.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batch analysis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Modification pattern learning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Physicians consistently modify same parameter (e.g., always halve dose for age &gt;70)</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Add deterministic rule to KB-23: ‘For patients age &gt;70 with eGFR &lt;45, recommend half the standard starting dose.’ Rule reviewed by clinical team before deployment.</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Monthly batch analysis, manual rule update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Acceptance rate 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Per-physician acceptance rate drops below 60%</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Alert clinical operations: either the physician needs onboarding, or they have specialised knowledge the system should capture.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Real-time dashboard metric</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CONTRAINDICATION_KNOWN enrichment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Physician rejects with CONTRAINDICATION_KNOWN reason</w:t>
            </w:r>
          </w:p>
        </w:tc>
        <w:tc>
          <w:tcPr>
            <w:tcW w:type="dxa" w:w="4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Clinical team reviews. If confirmed as a valid contraindication not in KB-24: add new safety rule. This is the system learning from physician expertise.</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Per-event review within 7 days</w:t>
            </w:r>
          </w:p>
        </w:tc>
      </w:tr>
    </w:tbl>
    <w:p>
      <w:pPr>
        <w:pBdr>
          <w:left w:val="single" w:color="C62828" w:sz="6" w:space="8"/>
        </w:pBdr>
        <w:spacing w:after="200" w:before="200"/>
        <w:ind w:left="240"/>
      </w:pPr>
      <w:r>
        <w:rPr>
          <w:rFonts w:ascii="Arial" w:cs="Arial" w:eastAsia="Arial" w:hAnsi="Arial"/>
          <w:b/>
          <w:bCs/>
          <w:color w:val="C62828"/>
          <w:sz w:val="20"/>
          <w:szCs w:val="20"/>
        </w:rPr>
        <w:t xml:space="preserve">DESIGN RULE: </w:t>
      </w:r>
      <w:r>
        <w:rPr>
          <w:rFonts w:ascii="Arial" w:cs="Arial" w:eastAsia="Arial" w:hAnsi="Arial"/>
          <w:sz w:val="20"/>
          <w:szCs w:val="20"/>
        </w:rPr>
        <w:t xml:space="preserve">Physician feedback learning is OFFLINE and HUMAN-REVIEWED. The system does not autonomously adjust its recommendation logic based on physician feedback. Monthly batch analysis identifies patterns. Clinical team reviews and approves rule changes. Approved changes are deployed as YAML configuration updates to KB-23/KB-24. This is deterministic rule evolution, not autonomous machine learning.</w:t>
      </w:r>
    </w:p>
    <w:p>
      <w:r>
        <w:br w:type="page"/>
      </w:r>
    </w:p>
    <w:p>
      <w:pPr>
        <w:pStyle w:val="Heading1"/>
        <w:spacing w:after="200" w:before="360"/>
      </w:pPr>
      <w:r>
        <w:rPr>
          <w:rFonts w:ascii="Arial" w:cs="Arial" w:eastAsia="Arial" w:hAnsi="Arial"/>
          <w:b/>
          <w:bCs/>
          <w:color w:val="1B3A5C"/>
          <w:sz w:val="32"/>
          <w:szCs w:val="32"/>
        </w:rPr>
        <w:t xml:space="preserve">9. Population-Level IOR Analytics</w:t>
      </w:r>
    </w:p>
    <w:p>
      <w:pPr>
        <w:spacing w:after="120" w:line="276"/>
      </w:pPr>
      <w:r>
        <w:rPr>
          <w:rFonts w:ascii="Arial" w:cs="Arial" w:eastAsia="Arial" w:hAnsi="Arial"/>
          <w:sz w:val="20"/>
          <w:szCs w:val="20"/>
        </w:rPr>
        <w:t xml:space="preserve">The IOR store feeds the Population Health Layer (Layer 5) with de-identified, aggregated analytics. These are published to analytics.population Kafka topic and stored in Apache Iceberg for long-term analysis.</w:t>
      </w:r>
    </w:p>
    <w:p>
      <w:pPr>
        <w:pStyle w:val="Heading2"/>
        <w:spacing w:after="160" w:before="280"/>
      </w:pPr>
      <w:r>
        <w:rPr>
          <w:rFonts w:ascii="Arial" w:cs="Arial" w:eastAsia="Arial" w:hAnsi="Arial"/>
          <w:b/>
          <w:bCs/>
          <w:color w:val="2E75B6"/>
          <w:sz w:val="28"/>
          <w:szCs w:val="28"/>
        </w:rPr>
        <w:t xml:space="preserve">9.1 Analytics Queries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gridCol w:w="488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6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8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Consumer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 success rate by drug class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 percentage of empagliflozin additions produced FBG improvement &gt;10 mg/dL at 28 days? How does this compare to dapagliflozin?</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Research team, clinical committee, population health dashboard</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Phenotype-specific response profiles</w:t>
            </w:r>
          </w:p>
        </w:tc>
        <w:tc>
          <w:tcPr>
            <w:tcW w:type="dxa" w:w="6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 Cluster X patients, which intervention produces the best MHRI improvement?</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KB-23 similar-patient query engine, research publications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Intervention sequence effectiveness</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 is the optimal PILLAR addition order? Is RASi → SGLT2i → finerenone better than RASi → SGLT2i → GLP-1RA for CKD patients?</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Clinical committee, protocol template refinement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Deprescribing outcome analysis</w:t>
            </w:r>
          </w:p>
        </w:tc>
        <w:tc>
          <w:tcPr>
            <w:tcW w:type="dxa" w:w="6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When SU is deprescribed (DEPRESC-1), how much does hypoglycemia frequency decrease? How much does HbA1c rise?</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DEPRESC-1 protocol calibration, physician education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Salt sensitivity validation</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 patients classified as HIGH_SALT_SENSITIVITY, does sodium reduction produce larger BP improvement than for SALT_RESISTANT patients?</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 Dive #2 phenotype validation, research publications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South Asian diaspora metabolic response (Australia specific)</w:t>
            </w:r>
          </w:p>
        </w:tc>
        <w:tc>
          <w:tcPr>
            <w:tcW w:type="dxa" w:w="6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Do South Asian Australians show the same drug response profiles as South Asians in India for the same phenotype cluster?</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Phenotype transferability validation, market expansion planning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Therapeutic inertia measurement</w:t>
            </w:r>
          </w:p>
        </w:tc>
        <w:tc>
          <w:tcPr>
            <w:tcW w:type="dxa" w:w="6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 is the median time from pillar gap detection to pillar gap closure (physician approval)? Is this decreasing over time?</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Implementation hypertension metric, physician onboarding effectiveness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Regional dietary intervention effectiveness</w:t>
            </w:r>
          </w:p>
        </w:tc>
        <w:tc>
          <w:tcPr>
            <w:tcW w:type="dxa" w:w="6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For South Indian patients, does ‘switch rice to millets’ produce better glucose outcomes than for North Indian patients (different dietary baseline)?</w:t>
            </w:r>
          </w:p>
        </w:tc>
        <w:tc>
          <w:tcPr>
            <w:tcW w:type="dxa" w:w="48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Regional food catalog refinement, KB-21 dietary recommendations</w:t>
            </w:r>
          </w:p>
        </w:tc>
      </w:tr>
    </w:tbl>
    <w:p>
      <w:pPr>
        <w:pBdr>
          <w:left w:val="single" w:color="FF8F00" w:sz="6" w:space="8"/>
        </w:pBdr>
        <w:spacing w:after="120"/>
        <w:ind w:left="240"/>
      </w:pPr>
      <w:r>
        <w:rPr>
          <w:rFonts w:ascii="Arial" w:cs="Arial" w:eastAsia="Arial" w:hAnsi="Arial"/>
          <w:b/>
          <w:bCs/>
          <w:color w:val="FF8F00"/>
          <w:sz w:val="20"/>
          <w:szCs w:val="20"/>
        </w:rPr>
        <w:t xml:space="preserve">MARKET SHIM: </w:t>
      </w:r>
      <w:r>
        <w:rPr>
          <w:rFonts w:ascii="Arial" w:cs="Arial" w:eastAsia="Arial" w:hAnsi="Arial"/>
          <w:sz w:val="20"/>
          <w:szCs w:val="20"/>
        </w:rPr>
        <w:t xml:space="preserve">Population analytics queries are market-independent in structure but market-specific in content. The query ‘intervention success rate by drug class’ runs against Indian IOR data in ap-south-1 and Australian IOR data in ap-southeast-2. Results are never mixed across deployments (data sovereignty). Phenotype transferability analysis (row 6) requires a governed model export, not data transfer.</w:t>
      </w:r>
    </w:p>
    <w:p>
      <w:r>
        <w:br w:type="page"/>
      </w:r>
    </w:p>
    <w:p>
      <w:pPr>
        <w:pStyle w:val="Heading1"/>
        <w:spacing w:after="200" w:before="360"/>
      </w:pPr>
      <w:r>
        <w:rPr>
          <w:rFonts w:ascii="Arial" w:cs="Arial" w:eastAsia="Arial" w:hAnsi="Arial"/>
          <w:b/>
          <w:bCs/>
          <w:color w:val="1B3A5C"/>
          <w:sz w:val="32"/>
          <w:szCs w:val="32"/>
        </w:rPr>
        <w:t xml:space="preserve">10. Implementation Plan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600"/>
        <w:gridCol w:w="44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6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A: Schema + Tables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1–2</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PostgreSQL schema: intervention_records + outcome_records tables. JSON Schema validation for intervention_detail per type. Indices for similar-patient queries. Database migration scripts.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PostgreSQL RDS available (exists). Schema design reviewed by clinical team.</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B: Intervention Record Creation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2–4</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IOR Generator creates Intervention Records when WINDOW_OPENED fires. KB-20 snapshot capture at intervention time. Physician action capture (physician_action, modification_detail, rejection_reason) wired from KB-23 Decision Card response flow.</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InterventionWindowMonitor (Deep Dive #2) deployed. KB-23 physician response flow wired.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C: Outcome Record Assembly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4–7</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Daily batch job assembling Outcome Records. Metric delta computation. Trajectory attribution logic. Data completeness scoring. Adherence assessment (KB-21 integration). Confounder capture (concurrent interventions, external events, festival calendar).</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Flink jobs from Deep Dives #1 and #2 producing output. KB-21 adherence scores available.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D: Similar-Patient Queries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7–9</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KB-23 query function for IOR store. Minimum 30-record threshold. Integration into PILLAR_GAP Decision Card: ‘For similar patients...’ insight. Query performance optimisation (partial indices, materialised views if needed).</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≥30 CLOSED_COMPLETE IOR records for at least one drug class (requires ~3 months of pilot data).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Phase E: Physician Feedback Loop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Weeks 8–10</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Monthly batch analysis pipeline for rejection/modification patterns. CONTRAINDICATION_KNOWN review workflow. Acceptance rate dashboard. Rule update proposal generation (reviewed by clinical team before deployment).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Sufficient physician response data (requires pilot running with real physician interactions).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Phase F: Population Analytics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Weeks 10–12</w:t>
            </w:r>
          </w:p>
        </w:tc>
        <w:tc>
          <w:tcPr>
            <w:tcW w:type="dxa" w:w="6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De-identified IOR summary publication to analytics.population. Iceberg table for long-term IOR storage. Pre-built query templates for the 8 analytics queries in Section 9. Population health dashboard integration.</w:t>
            </w:r>
          </w:p>
        </w:tc>
        <w:tc>
          <w:tcPr>
            <w:tcW w:type="dxa" w:w="4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8"/>
                <w:szCs w:val="18"/>
              </w:rPr>
              <w:t xml:space="preserve">IOR store with ≥1,000 CLOSED_COMPLETE records. Iceberg sink from Kafka architecture (V3).</w:t>
            </w:r>
          </w:p>
        </w:tc>
      </w:tr>
    </w:tbl>
    <w:p>
      <w:pPr>
        <w:pBdr>
          <w:left w:val="single" w:color="2E75B6" w:sz="6" w:space="8"/>
        </w:pBdr>
        <w:spacing w:after="120"/>
        <w:ind w:left="240"/>
      </w:pPr>
      <w:r>
        <w:rPr>
          <w:rFonts w:ascii="Arial" w:cs="Arial" w:eastAsia="Arial" w:hAnsi="Arial"/>
          <w:i/>
          <w:iCs/>
          <w:color w:val="555555"/>
          <w:sz w:val="20"/>
          <w:szCs w:val="20"/>
        </w:rPr>
        <w:t xml:space="preserve">Phase A–B can start immediately. Phase C depends on Flink jobs from earlier deep dives. Phase D requires real clinical data (pilot patients going through correction cycles and accumulating IOR records). Phase E requires real physician interactions. Phase F is a Phase 3+ deliverable dependent on scale.</w:t>
      </w:r>
    </w:p>
    <w:p>
      <w:pPr>
        <w:spacing w:before="200"/>
      </w:pPr>
      <w:r>
        <w:rPr>
          <w:rFonts w:ascii="Arial" w:cs="Arial" w:eastAsia="Arial" w:hAnsi="Arial"/>
          <w:b/>
          <w:bCs/>
          <w:sz w:val="20"/>
          <w:szCs w:val="20"/>
        </w:rPr>
        <w:t xml:space="preserve">The IOR system is the LAST piece that makes the flywheel complete: </w:t>
      </w:r>
      <w:r>
        <w:rPr>
          <w:rFonts w:ascii="Arial" w:cs="Arial" w:eastAsia="Arial" w:hAnsi="Arial"/>
          <w:sz w:val="20"/>
          <w:szCs w:val="20"/>
        </w:rPr>
        <w:t xml:space="preserve">Patients generate data (Layer 1) → Flink computes patterns (Layer 2) → V-MCU recommends interventions (Layer 3) → Physician approves (Layer 5) → IOR captures outcome (this system) → KB-23 uses outcomes to improve NEXT recommendation → better recommendation → higher acceptance rate → better outcome → the flywheel tightens.</w:t>
      </w:r>
    </w:p>
    <w:p>
      <w:pPr>
        <w:spacing w:before="400"/>
      </w:pPr>
      <w:r>
        <w:rPr>
          <w:rFonts w:ascii="Arial" w:cs="Arial" w:eastAsia="Arial" w:hAnsi="Arial"/>
          <w:i/>
          <w:iCs/>
          <w:color w:val="888888"/>
          <w:sz w:val="20"/>
          <w:szCs w:val="20"/>
        </w:rPr>
        <w:t xml:space="preserve">End of Deep Dive #4: IOR Schema + Generator</w:t>
      </w:r>
    </w:p>
    <w:p>
      <w:r>
        <w:rPr>
          <w:rFonts w:ascii="Arial" w:cs="Arial" w:eastAsia="Arial" w:hAnsi="Arial"/>
          <w:color w:val="888888"/>
          <w:sz w:val="18"/>
          <w:szCs w:val="18"/>
        </w:rPr>
        <w:t xml:space="preserve">Next deep dive: #5 — Dual-Domain Decision Card Generator</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888888"/>
        <w:sz w:val="16"/>
        <w:szCs w:val="16"/>
      </w:rPr>
      <w:t xml:space="preserve">VAIDSHALA v4  |  Deep Dive #4: IOR Schema + Generator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2026-03-26T02:36:08.437Z</dcterms:created>
  <dcterms:modified xsi:type="dcterms:W3CDTF">2026-03-26T02:36:08.440Z</dcterms:modified>
</cp:coreProperties>
</file>

<file path=docProps/custom.xml><?xml version="1.0" encoding="utf-8"?>
<Properties xmlns="http://schemas.openxmlformats.org/officeDocument/2006/custom-properties" xmlns:vt="http://schemas.openxmlformats.org/officeDocument/2006/docPropsVTypes"/>
</file>