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0"/>
          <w:szCs w:val="40"/>
        </w:rPr>
        <w:t xml:space="preserve">VAIDSHALA v4 — Deep Dive #5</w:t>
      </w:r>
    </w:p>
    <w:p>
      <w:pPr>
        <w:spacing w:after="200"/>
        <w:jc w:val="center"/>
      </w:pPr>
      <w:r>
        <w:rPr>
          <w:rFonts w:ascii="Arial" w:cs="Arial" w:eastAsia="Arial" w:hAnsi="Arial"/>
          <w:color w:val="2E75B6"/>
          <w:sz w:val="36"/>
          <w:szCs w:val="36"/>
        </w:rPr>
        <w:t xml:space="preserve">Dual-Domain Decision Card Generator</w:t>
      </w:r>
    </w:p>
    <w:p>
      <w:pPr>
        <w:spacing w:after="200"/>
        <w:jc w:val="center"/>
      </w:pPr>
      <w:r>
        <w:rPr>
          <w:rFonts w:ascii="Arial" w:cs="Arial" w:eastAsia="Arial" w:hAnsi="Arial"/>
          <w:color w:val="555555"/>
          <w:sz w:val="24"/>
          <w:szCs w:val="24"/>
        </w:rPr>
        <w:t xml:space="preserve">Integrated Glucose + BP Recommendations • Conflict Resolution • Queue Prioritization</w:t>
      </w:r>
    </w:p>
    <w:p>
      <w:pPr>
        <w:spacing w:after="200"/>
        <w:jc w:val="center"/>
      </w:pPr>
      <w:r>
        <w:rPr>
          <w:rFonts w:ascii="Arial" w:cs="Arial" w:eastAsia="Arial" w:hAnsi="Arial"/>
          <w:color w:val="777777"/>
          <w:sz w:val="22"/>
          <w:szCs w:val="22"/>
        </w:rPr>
        <w:t xml:space="preserve">Deterministic Template Rendering • Similar-Patient Insights • Card Lifecycle</w:t>
      </w:r>
    </w:p>
    <w:p>
      <w:pPr>
        <w:spacing w:after="600"/>
        <w:jc w:val="center"/>
      </w:pPr>
      <w:r>
        <w:rPr>
          <w:rFonts w:ascii="Arial" w:cs="Arial" w:eastAsia="Arial" w:hAnsi="Arial"/>
          <w:sz w:val="20"/>
          <w:szCs w:val="20"/>
        </w:rPr>
        <w:t xml:space="preserve">March 2026  |  ENGINEERING CONFIDENTIAL</w:t>
      </w:r>
    </w:p>
    <w:p>
      <w:r>
        <w:br w:type="page"/>
      </w:r>
    </w:p>
    <w:p>
      <w:pPr>
        <w:pStyle w:val="Heading1"/>
        <w:spacing w:after="200" w:before="360"/>
      </w:pPr>
      <w:r>
        <w:rPr>
          <w:rFonts w:ascii="Arial" w:cs="Arial" w:eastAsia="Arial" w:hAnsi="Arial"/>
          <w:b/>
          <w:bCs/>
          <w:color w:val="1B3A5C"/>
          <w:sz w:val="32"/>
          <w:szCs w:val="32"/>
        </w:rPr>
        <w:t xml:space="preserve">1. The Problem: Single-Disease Cards Miss What Matters</w:t>
      </w:r>
    </w:p>
    <w:p>
      <w:pPr>
        <w:spacing w:after="120" w:line="276"/>
      </w:pPr>
      <w:r>
        <w:rPr>
          <w:rFonts w:ascii="Arial" w:cs="Arial" w:eastAsia="Arial" w:hAnsi="Arial"/>
          <w:sz w:val="20"/>
          <w:szCs w:val="20"/>
        </w:rPr>
        <w:t xml:space="preserve">In V3, KB-23 generates cards per disease domain: MEDICATION_REVIEW for glucose, HYPERTENSION_REVIEW for BP, CKM_CRISIS_ALERT for triple deterioration. Each card knows about one domain. A physician managing a patient with T2DM + hypertension + CKD might receive THREE separate cards in one cycle — one recommending metformin uptitration, one recommending amlodipine addition, one recommending nephrology referral. The physician must mentally integrate these, check for interactions, and decide on sequencing. This cognitive burden is a driver of therapeutic inertia: when three cards arrive, the physician addresses the most urgent and defers the rest.</w:t>
      </w:r>
    </w:p>
    <w:p>
      <w:pPr>
        <w:spacing w:after="120" w:line="276"/>
      </w:pPr>
      <w:r>
        <w:rPr>
          <w:rFonts w:ascii="Arial" w:cs="Arial" w:eastAsia="Arial" w:hAnsi="Arial"/>
          <w:sz w:val="20"/>
          <w:szCs w:val="20"/>
        </w:rPr>
        <w:t xml:space="preserve">V4 solves this by generating INTEGRATED dual-domain Decision Cards. Instead of three single-domain cards for a patient who is uncontrolled in both glucose and BP, the system generates ONE card that says: ‘This patient is uncontrolled in both domains. Adding empagliflozin addresses both — expected HbA1c −0.7%, SBP −4 mmHg, plus renal protection. This is more effective than adding separate glucose and BP medications.’ One card, one action, multi-domain benefit.</w:t>
      </w:r>
    </w:p>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The Decision Card is the ONLY surface through which the correction loop communicates with the physician. If the card is unclear, contradictory, or buried in a queue of 20 cards, the clinical intelligence is wasted. Card quality IS clinical quality. This deep dive specifies how to build cards that physicians actually act on.</w:t>
      </w:r>
    </w:p>
    <w:p>
      <w:r>
        <w:br w:type="page"/>
      </w:r>
    </w:p>
    <w:p>
      <w:pPr>
        <w:pStyle w:val="Heading1"/>
        <w:spacing w:after="200" w:before="360"/>
      </w:pPr>
      <w:r>
        <w:rPr>
          <w:rFonts w:ascii="Arial" w:cs="Arial" w:eastAsia="Arial" w:hAnsi="Arial"/>
          <w:b/>
          <w:bCs/>
          <w:color w:val="1B3A5C"/>
          <w:sz w:val="32"/>
          <w:szCs w:val="32"/>
        </w:rPr>
        <w:t xml:space="preserve">2. V4 Card Type Taxonomy</w:t>
      </w:r>
    </w:p>
    <w:p>
      <w:pPr>
        <w:spacing w:after="120" w:line="276"/>
      </w:pPr>
      <w:r>
        <w:rPr>
          <w:rFonts w:ascii="Arial" w:cs="Arial" w:eastAsia="Arial" w:hAnsi="Arial"/>
          <w:sz w:val="20"/>
          <w:szCs w:val="20"/>
        </w:rPr>
        <w:t xml:space="preserve">V4 extends V3’s card types with dual-domain and four-pillar types. Each card type has a defined trigger, content template, urgency calculation, and IOR link.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1800"/>
        <w:gridCol w:w="800"/>
        <w:gridCol w:w="4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Urgency Driver</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V3/V4</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Physician Action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MEDICATION_REVIEW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GLYC-1 or HTN-1 protocol recommends drug change within single 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(glucose OR BP)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CDI score + trajectory signal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(existing)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 / Modify / Reject / Defer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HYPERTENSION_REVIEW</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HTN-1 detects uncontrolled BP requiring titration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only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severity + variability classification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V3 (existing)</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Approve / Modify / Reject / Defer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CKM_CRISIS_ALERT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CDI ≥15 or triple-domain deterioration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domains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CDI score (highest urgency)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(existing)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 + Action plan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PILLAR_GAP</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Four-pillar assessment detects ≥1 indicated-but-not-prescribed pillar (Deep Dive #3)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Multi-domain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Gap count × 2 + CDI multiplier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Approve pillar / Modify / Reject with reason / Defer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INTEGRATED_DUAL_DOMAIN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glucose AND BP are uncontrolled, and a SINGLE intervention can address 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 BP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Dual-domain severity 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V4 (new, this deep dive)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 integrated action / Split into separate actions / Modify / Reject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MEAL_INTERVENTION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MealPatternAggregator identifies worst-offender food with excursion &gt;80 mg/dL appearing &gt;5 times in 14 days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 (primarily)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Excursion magnitude + frequency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Approve substitution / Modify / Dismiss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SODIUM_REDUCTION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Salt sensitivity = HIGH and avg daily sodium &gt;2500mg and BP uncontrolled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(primarily, sodium pathway)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Salt sensitivity classification + BP severity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 / Modify target / Reject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BP_VARIABILITY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ARV &gt;12 mmHg sustained &gt;14 days (from Deep Dive #1)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(variability dimension)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ARV classification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Review med timing / Add long-acting agent / Order ABPM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MORNING_SURGE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 surge &gt;25 mmHg sustained &gt;7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(circadian dimension)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Surge classification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Switch to evening dosing / Add bedtime agent / Screen for OSA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DIPPING_ASSESSMENT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Non-dipper or reverse-dipper detected with LOW confidence (cuff-proxy)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(nocturnal dimension)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Dip classification + confidence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Order 24h ABPM / Start cuffless monitoring / Adjust therapy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SU_DEPRESCRIBE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DEPRESC-1 identifies sulfonylurea in patient with recurrent hypoglycemia or on insulin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(safety)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Hypoglycemia frequency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 deprescription / Modify step-down / Reject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LIFESTYLE_INTENSIFICATION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Correction loop determines lifestyle intervention before medication escalation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 and/or BP</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Trajectory + engagement 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V4 (new)</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Approve lifestyle Rx / Skip to medication / Modify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SAFETY_ALERT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B HALT or KB-24 cross-domain safety rule fires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Safety (cross-domain)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ALWAYS highest urgency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(existing, extended)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 / Take action / Override with documented reason</w:t>
            </w:r>
          </w:p>
        </w:tc>
      </w:tr>
    </w:tbl>
    <w:p>
      <w:pPr>
        <w:pBdr>
          <w:left w:val="single" w:color="2E75B6" w:sz="6" w:space="8"/>
        </w:pBdr>
        <w:spacing w:after="120"/>
        <w:ind w:left="240"/>
      </w:pPr>
      <w:r>
        <w:rPr>
          <w:rFonts w:ascii="Arial" w:cs="Arial" w:eastAsia="Arial" w:hAnsi="Arial"/>
          <w:i/>
          <w:iCs/>
          <w:color w:val="555555"/>
          <w:sz w:val="20"/>
          <w:szCs w:val="20"/>
        </w:rPr>
        <w:t xml:space="preserve">A patient NEVER receives more than 3 active cards simultaneously. If the card generator would produce 4+ cards, it consolidates: single-domain cards for the same patient are merged into INTEGRATED_DUAL_DOMAIN when a shared intervention exists. If no shared intervention exists, the lowest-urgency card is suppressed and the remaining cards’ rationale notes indicate the suppressed recommendation for completeness.</w:t>
      </w:r>
    </w:p>
    <w:p>
      <w:r>
        <w:br w:type="page"/>
      </w:r>
    </w:p>
    <w:p>
      <w:pPr>
        <w:pStyle w:val="Heading1"/>
        <w:spacing w:after="200" w:before="360"/>
      </w:pPr>
      <w:r>
        <w:rPr>
          <w:rFonts w:ascii="Arial" w:cs="Arial" w:eastAsia="Arial" w:hAnsi="Arial"/>
          <w:b/>
          <w:bCs/>
          <w:color w:val="1B3A5C"/>
          <w:sz w:val="32"/>
          <w:szCs w:val="32"/>
        </w:rPr>
        <w:t xml:space="preserve">3. The Card Generation Pipeline</w:t>
      </w:r>
    </w:p>
    <w:p>
      <w:pPr>
        <w:spacing w:after="120" w:line="276"/>
      </w:pPr>
      <w:r>
        <w:rPr>
          <w:rFonts w:ascii="Arial" w:cs="Arial" w:eastAsia="Arial" w:hAnsi="Arial"/>
          <w:sz w:val="20"/>
          <w:szCs w:val="20"/>
        </w:rPr>
        <w:t xml:space="preserve">Card generation is a deterministic 7-step pipeline that runs within V-MCU’s RunCycle (Phase 13: KB-23 Card Builder). Every step produces auditable output recorded in SafetyTrace.</w:t>
      </w:r>
    </w:p>
    <w:p>
      <w:pPr>
        <w:pStyle w:val="Heading2"/>
        <w:spacing w:after="160" w:before="280"/>
      </w:pPr>
      <w:r>
        <w:rPr>
          <w:rFonts w:ascii="Arial" w:cs="Arial" w:eastAsia="Arial" w:hAnsi="Arial"/>
          <w:b/>
          <w:bCs/>
          <w:color w:val="2E75B6"/>
          <w:sz w:val="28"/>
          <w:szCs w:val="28"/>
        </w:rPr>
        <w:t xml:space="preserve">3.1 Step 1: Domain State Assessment</w:t>
      </w:r>
    </w:p>
    <w:p>
      <w:pPr>
        <w:spacing w:after="120" w:line="276"/>
      </w:pPr>
      <w:r>
        <w:rPr>
          <w:rFonts w:ascii="Arial" w:cs="Arial" w:eastAsia="Arial" w:hAnsi="Arial"/>
          <w:sz w:val="20"/>
          <w:szCs w:val="20"/>
        </w:rPr>
        <w:t xml:space="preserve">Read the dual-domain state classification from V-MCU’s Channel C evaluation (defined in North Star Section 2.4):</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7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Glucose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BP</w:t>
            </w:r>
          </w:p>
        </w:tc>
        <w:tc>
          <w:tcPr>
            <w:tcW w:type="dxa" w:w="7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Generation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CONTROLLED_CONTROLLED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 target</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card generated. Patient in maintenance mode. Next cycle in 14 days.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CONTROLLED_UNCONTROLLED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At target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Not at target</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BP-focused card path. Generate HYPERTENSION_REVIEW or BP_VARIABILITY or MORNING_SURGE depending on BP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UNCONTROLLED_CONTROLLED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at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 target</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Glucose-focused card path. Generate MEDICATION_REVIEW (GLYC-1) or MEAL_INTERVENTION or LIFESTYLE_INTENSIFICATION.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UNCONTROLLED_UNCONTROLLED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Not at target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Not at target</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 DUAL-DOMAIN CARD PATH (the core of this deep dive). Check for shared intervention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DETERIORATING_ANY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Worsening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Urgent card regardless of absolute levels. Card urgency amplified by trajectory.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SAFETY_ALERT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Hypo/DKA risk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Crisis</w:t>
            </w:r>
          </w:p>
        </w:tc>
        <w:tc>
          <w:tcPr>
            <w:tcW w:type="dxa" w:w="7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SAFETY_ALERT card immediately. Bypasses all other logic.</w:t>
            </w:r>
          </w:p>
        </w:tc>
      </w:tr>
    </w:tbl>
    <w:p>
      <w:pPr>
        <w:pStyle w:val="Heading2"/>
        <w:spacing w:after="160" w:before="280"/>
      </w:pPr>
      <w:r>
        <w:rPr>
          <w:rFonts w:ascii="Arial" w:cs="Arial" w:eastAsia="Arial" w:hAnsi="Arial"/>
          <w:b/>
          <w:bCs/>
          <w:color w:val="2E75B6"/>
          <w:sz w:val="28"/>
          <w:szCs w:val="28"/>
        </w:rPr>
        <w:t xml:space="preserve">3.2 Step 2: Shared Intervention Check (Dual-Domain Path Only)</w:t>
      </w:r>
    </w:p>
    <w:p>
      <w:pPr>
        <w:spacing w:after="120" w:line="276"/>
      </w:pPr>
      <w:r>
        <w:rPr>
          <w:rFonts w:ascii="Arial" w:cs="Arial" w:eastAsia="Arial" w:hAnsi="Arial"/>
          <w:sz w:val="20"/>
          <w:szCs w:val="20"/>
        </w:rPr>
        <w:t xml:space="preserve">When both domains are uncontrolled, the system checks: does a SINGLE drug or intervention address BOTH problems? This is where the four-pillar assessment (Deep Dive #3) converges with the dual-domain card generator.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400"/>
        <w:gridCol w:w="56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Candidate Shared Intervention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Glucose Benefit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BP Benefit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Additional Benefits</w:t>
            </w:r>
          </w:p>
        </w:tc>
        <w:tc>
          <w:tcPr>
            <w:tcW w:type="dxa" w:w="5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to Recommend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SGLT2i (Pillar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HbA1c −0.5–0.8%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−3–5 mmHg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 preservation, UACR reduction, weight loss, HF reduction</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 2 is INDICATED (not yet prescribed). This is the STRONGEST dual-domain intervention.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GLP-1RA (Pillar 3)</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HbA1c −1.0–1.8%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 −2–4 mmHg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 loss 5–15%, MACE reduction, MASLD benefit</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 3 is INDICATED. Prioritise if obesity is dominant comorbidity.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Sodium reduction (lifestyle)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Modest (insulin sensitivity improves with salt reduction)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−4–10 mmHg in salt-sensitive patients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Salt sensitivity phenotype = HIGH</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classified HIGH_SALT_SENSITIVITY (Deep Dive #2). Sodium reduction may defer need for additional medication.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Post-meal walking (lifestyle)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PPG reduction 20–40 mg/dL</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 −2–4 mmHg (acute exercise effect)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 maintenance, CV fitness</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sedentary (steps &lt;4000/day) AND glucose and BP both modestly above target. Lifestyle before medication.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Weight loss programme (lifestyle)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HbA1c improves ~0.1% per kg lost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improves ~1 mmHg per kg lost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MASLD improvement, reduced medication burden long-term</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BMI ≥ bmi_obese_threshold AND both domains modestly uncontrolled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shared intervention available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no single intervention addresses both, generate TWO separate cards (glucose + BP) with cross-reference notes. Cap at 3 total active cards.</w:t>
            </w:r>
          </w:p>
        </w:tc>
      </w:tr>
    </w:tbl>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When a shared intervention exists, generate ONE INTEGRATED_DUAL_DOMAIN card instead of two single-domain cards. This reduces the physician’s cognitive load from ‘two decisions’ to ‘one decision with double the impact.’ The card’s primary framing is the shared benefit, not the individual domain.</w:t>
      </w:r>
    </w:p>
    <w:p>
      <w:pPr>
        <w:pStyle w:val="Heading2"/>
        <w:spacing w:after="160" w:before="280"/>
      </w:pPr>
      <w:r>
        <w:rPr>
          <w:rFonts w:ascii="Arial" w:cs="Arial" w:eastAsia="Arial" w:hAnsi="Arial"/>
          <w:b/>
          <w:bCs/>
          <w:color w:val="2E75B6"/>
          <w:sz w:val="28"/>
          <w:szCs w:val="28"/>
        </w:rPr>
        <w:t xml:space="preserve">3.3 Step 3: Conflict Detection and Resolution</w:t>
      </w:r>
    </w:p>
    <w:p>
      <w:pPr>
        <w:spacing w:after="120" w:line="276"/>
      </w:pPr>
      <w:r>
        <w:rPr>
          <w:rFonts w:ascii="Arial" w:cs="Arial" w:eastAsia="Arial" w:hAnsi="Arial"/>
          <w:sz w:val="20"/>
          <w:szCs w:val="20"/>
        </w:rPr>
        <w:t xml:space="preserve">Conflicts arise when the optimal intervention for one domain worsens the other. These are rare but clinically critical.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00"/>
        <w:gridCol w:w="46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Conflict Scenario</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Glucose Recommendation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BP Recommendation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Beta-blocker masks hypoglycemia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GLYC-1 recommends SU or insulin intensification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HTN-1 Step 4 recommends beta-blocker for resistant hypertension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 beta-blocker masks hypoglycemia symptoms in patients on insulin/SU. Resolution: recommend beta-blocker ONLY if SU is deprescribed first (DEPRESC-1 co-fires). Card notes the dependency.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INTEGRATED card: ‘Before adding beta-blocker, deprescribe glimepiride to reduce masked hypoglycemia risk. Then add bisoprolol.’ Two-step action.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Thiazide worsens glucose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near HbA1c target, GLYC-1 wants to avoid glucose-raising agents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HTN-1 Step 3 recommends thiazide diuretic</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CONFLICT: thiazide raises glucose 0.2–0.5%. Resolution: if patient is on SGLT2i (Pillar 2), the glucose-raising effect is offset. If not, prefer CCB (amlodipine) over thiazide.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Card notes: ‘Thiazide may modestly raise glucose. Amlodipine is preferred unless fluid retention is a concern.’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Aggressive BP lowering risks hypoperfusion in CKD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GLYC-1 may recommend SGLT2i (eGFR dip)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HTN-1 targeting SBP &lt;120 (high CV risk)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 combined SGLT2i eGFR dip + aggressive BP lowering may cause AKI in vulnerable CKD patients. Resolution: start SGLT2i at lower dose. Relax SBP target to &lt;130 for first 4 weeks. Recheck eGFR.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INTEGRATED card with staggered approach: ‘Start empagliflozin 10mg. Temporarily target SBP &lt;130 (not &lt;120) until eGFR stabilises at 4 weeks. Then reassess BP target.’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Corticosteroid-driven glucose spike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GLYC-1 detects glucose rising due to steroid burst (perturbation context = STEROID)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HTN-1 detects BP rising (steroids also raise BP)</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CONFLICT but SHARED CAUSE: perturbation suppression (V3 Track 3) suppresses both glucose and BP titration during steroid course. Card: ‘Glucose and BP elevation likely steroid-related. Titration PAUSED until steroid course completes. Monitor closely.’</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PERTURBATION_SUPPRESSION card (existing V3 mechanism) with dual-domain explanation.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Metformin dose increase + eGFR declining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GLYC-1 Step 1: uptitrate metformin to 2000mg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RENAL-1: eGFR approaching 30 (metformin contraindication threshold)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 GLYC-1 wants more metformin but eGFR trajectory threatens contraindication. Resolution: Channel B rule B-07 (eGFR gate) fires PAUSE on metformin uptitration. GLYC-1 skips to Step 2 (SGLT2i) which is BOTH glucose-lowering AND nephroprotective.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 ‘Metformin uptitration paused (eGFR approaching 30). Instead: add empagliflozin for glucose control + renal protection.’</w:t>
            </w:r>
          </w:p>
        </w:tc>
      </w:tr>
    </w:tbl>
    <w:p>
      <w:pPr>
        <w:pBdr>
          <w:left w:val="single" w:color="2E75B6" w:sz="6" w:space="8"/>
        </w:pBdr>
        <w:spacing w:after="120"/>
        <w:ind w:left="240"/>
      </w:pPr>
      <w:r>
        <w:rPr>
          <w:rFonts w:ascii="Arial" w:cs="Arial" w:eastAsia="Arial" w:hAnsi="Arial"/>
          <w:i/>
          <w:iCs/>
          <w:color w:val="555555"/>
          <w:sz w:val="20"/>
          <w:szCs w:val="20"/>
        </w:rPr>
        <w:t xml:space="preserve">Conflicts are RARE in practice because the four-pillar drugs (RASi, SGLT2i, GLP-1RA, finerenone) are specifically designed to benefit BOTH diabetes and hypertension/CKD. Conflicts typically involve older drug classes (beta-blockers, thiazides, sulfonylureas) interacting with newer cardioprotective agents. The resolution almost always favours the multi-domain agent over the single-domain one.</w:t>
      </w:r>
    </w:p>
    <w:p>
      <w:r>
        <w:br w:type="page"/>
      </w:r>
    </w:p>
    <w:p>
      <w:pPr>
        <w:pStyle w:val="Heading2"/>
        <w:spacing w:after="160" w:before="280"/>
      </w:pPr>
      <w:r>
        <w:rPr>
          <w:rFonts w:ascii="Arial" w:cs="Arial" w:eastAsia="Arial" w:hAnsi="Arial"/>
          <w:b/>
          <w:bCs/>
          <w:color w:val="2E75B6"/>
          <w:sz w:val="28"/>
          <w:szCs w:val="28"/>
        </w:rPr>
        <w:t xml:space="preserve">3.4 Step 4: Urgency Calculation</w:t>
      </w:r>
    </w:p>
    <w:p>
      <w:pPr>
        <w:spacing w:after="120" w:line="276"/>
      </w:pPr>
      <w:r>
        <w:rPr>
          <w:rFonts w:ascii="Arial" w:cs="Arial" w:eastAsia="Arial" w:hAnsi="Arial"/>
          <w:sz w:val="20"/>
          <w:szCs w:val="20"/>
        </w:rPr>
        <w:t xml:space="preserve">Every card receives a numeric urgency score that determines its position in the physician’s queue. Higher score = presented first. The urgency formula is deterministic and auditable.</w:t>
      </w:r>
    </w:p>
    <w:p>
      <w:pPr>
        <w:pStyle w:val="Heading3"/>
        <w:spacing w:after="120" w:before="200"/>
      </w:pPr>
      <w:r>
        <w:rPr>
          <w:rFonts w:ascii="Arial" w:cs="Arial" w:eastAsia="Arial" w:hAnsi="Arial"/>
          <w:b/>
          <w:bCs/>
          <w:color w:val="404040"/>
          <w:sz w:val="24"/>
          <w:szCs w:val="24"/>
        </w:rPr>
        <w:t xml:space="preserve">Base Urgency by Card Type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Base Urgency</w:t>
            </w:r>
          </w:p>
        </w:tc>
        <w:tc>
          <w:tcPr>
            <w:tcW w:type="dxa" w:w="9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SAFETY_ALERT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(always highest)</w:t>
            </w:r>
          </w:p>
        </w:tc>
        <w:tc>
          <w:tcPr>
            <w:tcW w:type="dxa" w:w="9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Safety overrides everything. Hypertensive emergency, severe hypoglycemia, hyperkalemia — immediate physician attention required.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CKM_CRISIS_ALERT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80</w:t>
            </w:r>
          </w:p>
        </w:tc>
        <w:tc>
          <w:tcPr>
            <w:tcW w:type="dxa" w:w="9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Triple-domain deterioration. CDI ≥15. Near-crisis.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INTEGRATED_DUAL_DOMAIN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w:t>
            </w:r>
          </w:p>
        </w:tc>
        <w:tc>
          <w:tcPr>
            <w:tcW w:type="dxa" w:w="9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domains uncontrolled. Higher urgency than single-domain because untreated dual disease has multiplicative risk.</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PILLAR_GAP</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50</w:t>
            </w:r>
          </w:p>
        </w:tc>
        <w:tc>
          <w:tcPr>
            <w:tcW w:type="dxa" w:w="9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Guideline-indicated therapy not prescribed. Important but not emergent.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MEDICATION_REVIEW (single domain)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w:t>
            </w:r>
          </w:p>
        </w:tc>
        <w:tc>
          <w:tcPr>
            <w:tcW w:type="dxa" w:w="9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titration recommendation.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HYPERTENSION_REVIEW</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40</w:t>
            </w:r>
          </w:p>
        </w:tc>
        <w:tc>
          <w:tcPr>
            <w:tcW w:type="dxa" w:w="9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priority as glucose medication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BP_VARIABILITY / MORNING_SURGE / DIPPING_ASSESSMENT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w:t>
            </w:r>
          </w:p>
        </w:tc>
        <w:tc>
          <w:tcPr>
            <w:tcW w:type="dxa" w:w="9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Pattern-based BP findings. Important for risk stratification but not immediate dose changes.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MEAL_INTERVENTION / SODIUM_REDUCTION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w:t>
            </w:r>
          </w:p>
        </w:tc>
        <w:tc>
          <w:tcPr>
            <w:tcW w:type="dxa" w:w="9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Dietary recommendations. Impactful but lower urgency than pharmacotherapy.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SU_DEPRESCRIBE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w:t>
            </w:r>
          </w:p>
        </w:tc>
        <w:tc>
          <w:tcPr>
            <w:tcW w:type="dxa" w:w="9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Safety-motivated deprescribing. Slightly higher than standard medication review.</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LIFESTYLE_INTENSIFICATION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25</w:t>
            </w:r>
          </w:p>
        </w:tc>
        <w:tc>
          <w:tcPr>
            <w:tcW w:type="dxa" w:w="9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 before medication. Lowest urgency among actionable cards.</w:t>
            </w:r>
          </w:p>
        </w:tc>
      </w:tr>
    </w:tbl>
    <w:p>
      <w:pPr>
        <w:pStyle w:val="Heading3"/>
        <w:spacing w:after="120" w:before="200"/>
      </w:pPr>
      <w:r>
        <w:rPr>
          <w:rFonts w:ascii="Arial" w:cs="Arial" w:eastAsia="Arial" w:hAnsi="Arial"/>
          <w:b/>
          <w:bCs/>
          <w:color w:val="404040"/>
          <w:sz w:val="24"/>
          <w:szCs w:val="24"/>
        </w:rPr>
        <w:t xml:space="preserve">Urgency Modifiers (additive)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66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Adjustment</w:t>
            </w:r>
          </w:p>
        </w:tc>
        <w:tc>
          <w:tcPr>
            <w:tcW w:type="dxa" w:w="6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Trajectory deterioration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trajectory = DETERIORATING in the relevant 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worsening trajectory is more urgent than a static uncontrolled state.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CDI multiplier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CDI &gt; 12 (HIGH tier)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Cross-domain deterioration amplifies urgency of any individual card.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PREVENT risk amplifier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PREVENT 10yr CV risk &gt; cv_risk_high_threshold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absolute CV risk means delays in therapy have larger consequences.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eGFR rapid decline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eGFR slope &lt; egfr_rapid_decline_per_yr (from clinical params)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Renal trajectory is accelerating. Nephroprotective interventions urgently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Recurrent safety event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hypoglycemia events in 14 days OR ≥2 SBP &gt;180 readings in 14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Recurrent safety events indicate the current regimen is dangerous, not just suboptimal.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Low engagement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engagement_score &lt; 0.3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 (reduce, not increase)</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the patient is disengaged, medication changes may not be followed. Consider engagement intervention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Recent physician rejection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card type rejected by physician within last 28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already considered and rejected this recommendation recently. Reduce urgency to avoid alarm fatigue. Only re-present if clinical state has meaningfully changed.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Autonomous-eligible pattern</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This exact recommendation pattern has &gt;95% historical physician agreement (India only, per compliance.yaml)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 (card still generated but lower priority since likely auto-approved)</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 V3 autonomous mode spec. Disabled in Australia per TGA constraint.</w:t>
            </w:r>
          </w:p>
        </w:tc>
      </w:tr>
    </w:tbl>
    <w:p>
      <w:pPr>
        <w:spacing w:after="120" w:line="276"/>
      </w:pPr>
      <w:r>
        <w:rPr>
          <w:rFonts w:ascii="Arial" w:cs="Arial" w:eastAsia="Arial" w:hAnsi="Arial"/>
          <w:sz w:val="20"/>
          <w:szCs w:val="20"/>
        </w:rPr>
        <w:t xml:space="preserve">Final urgency = base_urgency + sum(applicable_modifiers). Minimum 0, maximum 120. Cards sorted descending by urgency in the physician’s queue.</w:t>
      </w:r>
    </w:p>
    <w:p>
      <w:pPr>
        <w:pBdr>
          <w:left w:val="single" w:color="FF8F00" w:sz="6" w:space="8"/>
        </w:pBdr>
        <w:spacing w:after="120"/>
        <w:ind w:left="240"/>
      </w:pPr>
      <w:r>
        <w:rPr>
          <w:rFonts w:ascii="Arial" w:cs="Arial" w:eastAsia="Arial" w:hAnsi="Arial"/>
          <w:b/>
          <w:bCs/>
          <w:color w:val="FF8F00"/>
          <w:sz w:val="20"/>
          <w:szCs w:val="20"/>
        </w:rPr>
        <w:t xml:space="preserve">MARKET SHIM: </w:t>
      </w:r>
      <w:r>
        <w:rPr>
          <w:rFonts w:ascii="Arial" w:cs="Arial" w:eastAsia="Arial" w:hAnsi="Arial"/>
          <w:sz w:val="20"/>
          <w:szCs w:val="20"/>
        </w:rPr>
        <w:t xml:space="preserve">compliance.yaml autonomous_threshold: India = enabled (&gt;90% agreement over 30 days). Australia = DISABLED (TGA requires physician confirmation on all recommendations). The autonomous-eligible modifier is only applied when autonomous mode is enabled in the market config.</w:t>
      </w:r>
    </w:p>
    <w:p>
      <w:r>
        <w:br w:type="page"/>
      </w:r>
    </w:p>
    <w:p>
      <w:pPr>
        <w:pStyle w:val="Heading2"/>
        <w:spacing w:after="160" w:before="280"/>
      </w:pPr>
      <w:r>
        <w:rPr>
          <w:rFonts w:ascii="Arial" w:cs="Arial" w:eastAsia="Arial" w:hAnsi="Arial"/>
          <w:b/>
          <w:bCs/>
          <w:color w:val="2E75B6"/>
          <w:sz w:val="28"/>
          <w:szCs w:val="28"/>
        </w:rPr>
        <w:t xml:space="preserve">3.5 Step 5: Card Content Generation</w:t>
      </w:r>
    </w:p>
    <w:p>
      <w:pPr>
        <w:spacing w:after="120" w:line="276"/>
      </w:pPr>
      <w:r>
        <w:rPr>
          <w:rFonts w:ascii="Arial" w:cs="Arial" w:eastAsia="Arial" w:hAnsi="Arial"/>
          <w:sz w:val="20"/>
          <w:szCs w:val="20"/>
        </w:rPr>
        <w:t xml:space="preserve">Card content is generated from deterministic templates, NOT from an LLM. Each card type has a template with placeholders filled from the patient state, intervention recommendation, and IOR query results. The templates produce clinical English that a physician can read in &lt;30 seconds.</w:t>
      </w:r>
    </w:p>
    <w:p>
      <w:pPr>
        <w:pStyle w:val="Heading3"/>
        <w:spacing w:after="120" w:before="200"/>
      </w:pPr>
      <w:r>
        <w:rPr>
          <w:rFonts w:ascii="Arial" w:cs="Arial" w:eastAsia="Arial" w:hAnsi="Arial"/>
          <w:b/>
          <w:bCs/>
          <w:color w:val="404040"/>
          <w:sz w:val="24"/>
          <w:szCs w:val="24"/>
        </w:rPr>
        <w:t xml:space="preserve">INTEGRATED_DUAL_DOMAIN Card Template</w:t>
      </w:r>
    </w:p>
    <w:p>
      <w:pPr>
        <w:pBdr>
          <w:left w:val="single" w:color="1B3A5C" w:sz="4" w:space="8"/>
        </w:pBdr>
        <w:spacing w:after="200"/>
        <w:ind w:left="360"/>
      </w:pPr>
      <w:r>
        <w:rPr>
          <w:rFonts w:ascii="Arial" w:cs="Arial" w:eastAsia="Arial" w:hAnsi="Arial"/>
          <w:b/>
          <w:bCs/>
          <w:sz w:val="19"/>
          <w:szCs w:val="19"/>
        </w:rPr>
        <w:t xml:space="preserve">PATIENT SUMMARY: </w:t>
      </w:r>
      <w:r>
        <w:rPr>
          <w:rFonts w:ascii="Arial" w:cs="Arial" w:eastAsia="Arial" w:hAnsi="Arial"/>
          <w:sz w:val="19"/>
          <w:szCs w:val="19"/>
        </w:rPr>
        <w:t xml:space="preserve">{patient.age}{patient.sex}, T2DM {patient.diabetes_duration}yr, {patient.comorbidities_summary}. </w:t>
      </w:r>
      <w:r>
        <w:rPr>
          <w:rFonts w:ascii="Arial" w:cs="Arial" w:eastAsia="Arial" w:hAnsi="Arial"/>
          <w:color w:val="BF360C"/>
          <w:sz w:val="19"/>
          <w:szCs w:val="19"/>
        </w:rPr>
        <w:t xml:space="preserve">HbA1c {patient.hba1c_latest}%, FBG {patient.fbg_7d_avg} mg/dL</w:t>
      </w:r>
      <w:r>
        <w:rPr>
          <w:rFonts w:ascii="Arial" w:cs="Arial" w:eastAsia="Arial" w:hAnsi="Arial"/>
          <w:sz w:val="19"/>
          <w:szCs w:val="19"/>
        </w:rPr>
        <w:t xml:space="preserve"> | </w:t>
      </w:r>
      <w:r>
        <w:rPr>
          <w:rFonts w:ascii="Arial" w:cs="Arial" w:eastAsia="Arial" w:hAnsi="Arial"/>
          <w:color w:val="1565C0"/>
          <w:sz w:val="19"/>
          <w:szCs w:val="19"/>
        </w:rPr>
        <w:t xml:space="preserve">SBP {patient.sbp_7d_avg} mmHg, ARV {patient.arv_sbp_7d}</w:t>
      </w:r>
      <w:r>
        <w:rPr>
          <w:rFonts w:ascii="Arial" w:cs="Arial" w:eastAsia="Arial" w:hAnsi="Arial"/>
          <w:sz w:val="19"/>
          <w:szCs w:val="19"/>
        </w:rPr>
        <w:t xml:space="preserve">. MHRI {patient.mhri}/100 ({patient.mhri_trend}).</w:t>
      </w:r>
    </w:p>
    <w:p>
      <w:pPr>
        <w:pBdr>
          <w:left w:val="single" w:color="2E7D32" w:sz="4" w:space="8"/>
        </w:pBdr>
        <w:spacing w:after="200"/>
        <w:ind w:left="360"/>
      </w:pPr>
      <w:r>
        <w:rPr>
          <w:rFonts w:ascii="Arial" w:cs="Arial" w:eastAsia="Arial" w:hAnsi="Arial"/>
          <w:b/>
          <w:bCs/>
          <w:color w:val="2E7D32"/>
          <w:sz w:val="19"/>
          <w:szCs w:val="19"/>
        </w:rPr>
        <w:t xml:space="preserve">RECOMMENDATION: </w:t>
      </w:r>
      <w:r>
        <w:rPr>
          <w:rFonts w:ascii="Arial" w:cs="Arial" w:eastAsia="Arial" w:hAnsi="Arial"/>
          <w:sz w:val="19"/>
          <w:szCs w:val="19"/>
        </w:rPr>
        <w:t xml:space="preserve">Add {recommendation.drug_name} {recommendation.dose} ({recommendation.pillar_label}). </w:t>
      </w:r>
      <w:r>
        <w:rPr>
          <w:rFonts w:ascii="Arial" w:cs="Arial" w:eastAsia="Arial" w:hAnsi="Arial"/>
          <w:b/>
          <w:bCs/>
          <w:sz w:val="19"/>
          <w:szCs w:val="19"/>
        </w:rPr>
        <w:t xml:space="preserve">This single medication addresses BOTH domains: </w:t>
      </w:r>
      <w:r>
        <w:rPr>
          <w:rFonts w:ascii="Arial" w:cs="Arial" w:eastAsia="Arial" w:hAnsi="Arial"/>
          <w:sz w:val="19"/>
          <w:szCs w:val="19"/>
        </w:rPr>
        <w:t xml:space="preserve">(1) Glucose: expected HbA1c {recommendation.expected_hba1c_change}. </w:t>
      </w:r>
      <w:r>
        <w:rPr>
          <w:rFonts w:ascii="Arial" w:cs="Arial" w:eastAsia="Arial" w:hAnsi="Arial"/>
          <w:sz w:val="19"/>
          <w:szCs w:val="19"/>
        </w:rPr>
        <w:t xml:space="preserve">(2) Blood pressure: expected SBP {recommendation.expected_sbp_change}. </w:t>
      </w:r>
      <w:r>
        <w:rPr>
          <w:rFonts w:ascii="Arial" w:cs="Arial" w:eastAsia="Arial" w:hAnsi="Arial"/>
          <w:sz w:val="19"/>
          <w:szCs w:val="19"/>
        </w:rPr>
        <w:t xml:space="preserve">{recommendation.additional_benefits}</w:t>
      </w:r>
    </w:p>
    <w:p>
      <w:pPr>
        <w:pBdr>
          <w:left w:val="single" w:color="FF8F00" w:sz="4" w:space="8"/>
        </w:pBdr>
        <w:spacing w:after="200"/>
        <w:ind w:left="360"/>
      </w:pPr>
      <w:r>
        <w:rPr>
          <w:rFonts w:ascii="Arial" w:cs="Arial" w:eastAsia="Arial" w:hAnsi="Arial"/>
          <w:b/>
          <w:bCs/>
          <w:color w:val="FF8F00"/>
          <w:sz w:val="19"/>
          <w:szCs w:val="19"/>
        </w:rPr>
        <w:t xml:space="preserve">SIMILAR PATIENTS: </w:t>
      </w:r>
      <w:r>
        <w:rPr>
          <w:rFonts w:ascii="Arial" w:cs="Arial" w:eastAsia="Arial" w:hAnsi="Arial"/>
          <w:sz w:val="19"/>
          <w:szCs w:val="19"/>
        </w:rPr>
        <w:t xml:space="preserve">{ior_insight.text_if_available OR ‘Insufficient outcome data for similar patients.’}</w:t>
      </w:r>
    </w:p>
    <w:p>
      <w:pPr>
        <w:pBdr>
          <w:left w:val="single" w:color="C62828" w:sz="4" w:space="8"/>
        </w:pBdr>
        <w:spacing w:after="200"/>
        <w:ind w:left="360"/>
      </w:pPr>
      <w:r>
        <w:rPr>
          <w:rFonts w:ascii="Arial" w:cs="Arial" w:eastAsia="Arial" w:hAnsi="Arial"/>
          <w:b/>
          <w:bCs/>
          <w:color w:val="C62828"/>
          <w:sz w:val="19"/>
          <w:szCs w:val="19"/>
        </w:rPr>
        <w:t xml:space="preserve">SAFETY: </w:t>
      </w:r>
      <w:r>
        <w:rPr>
          <w:rFonts w:ascii="Arial" w:cs="Arial" w:eastAsia="Arial" w:hAnsi="Arial"/>
          <w:sz w:val="19"/>
          <w:szCs w:val="19"/>
        </w:rPr>
        <w:t xml:space="preserve">{safety_flags_if_any OR ‘No safety concerns identified.’}</w:t>
      </w:r>
    </w:p>
    <w:p>
      <w:pPr>
        <w:pBdr>
          <w:left w:val="single" w:color="616161" w:sz="4" w:space="8"/>
        </w:pBdr>
        <w:spacing w:after="200"/>
        <w:ind w:left="360"/>
      </w:pPr>
      <w:r>
        <w:rPr>
          <w:rFonts w:ascii="Arial" w:cs="Arial" w:eastAsia="Arial" w:hAnsi="Arial"/>
          <w:b/>
          <w:bCs/>
          <w:color w:val="616161"/>
          <w:sz w:val="19"/>
          <w:szCs w:val="19"/>
        </w:rPr>
        <w:t xml:space="preserve">FOUR-PILLAR STATUS: </w:t>
      </w:r>
      <w:r>
        <w:rPr>
          <w:rFonts w:ascii="Arial" w:cs="Arial" w:eastAsia="Arial" w:hAnsi="Arial"/>
          <w:sz w:val="19"/>
          <w:szCs w:val="19"/>
        </w:rPr>
        <w:t xml:space="preserve">P1 {pillar1_icon} | P2 {pillar2_icon} | P3 {pillar3_icon} | P4 {pillar4_icon}  </w:t>
      </w:r>
      <w:r>
        <w:rPr>
          <w:rFonts w:ascii="Arial" w:cs="Arial" w:eastAsia="Arial" w:hAnsi="Arial"/>
          <w:sz w:val="19"/>
          <w:szCs w:val="19"/>
        </w:rPr>
        <w:t xml:space="preserve">({pillars_active_count}/4 active, {pillars_gap_count} gaps)</w:t>
      </w:r>
    </w:p>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Card content is generated by string interpolation from templates, not by LLM. Every word in the card is deterministic and traceable to a template + data source. The template library is versioned in Clinical Content Service :8135 and can be localised. The physician sees identical phrasing for identical clinical situations, building familiarity and trust. LLM-generated text would introduce variability that undermines both auditability and physician confidence.</w:t>
      </w:r>
    </w:p>
    <w:p>
      <w:r>
        <w:br w:type="page"/>
      </w:r>
    </w:p>
    <w:p>
      <w:pPr>
        <w:pStyle w:val="Heading2"/>
        <w:spacing w:after="160" w:before="280"/>
      </w:pPr>
      <w:r>
        <w:rPr>
          <w:rFonts w:ascii="Arial" w:cs="Arial" w:eastAsia="Arial" w:hAnsi="Arial"/>
          <w:b/>
          <w:bCs/>
          <w:color w:val="2E75B6"/>
          <w:sz w:val="28"/>
          <w:szCs w:val="28"/>
        </w:rPr>
        <w:t xml:space="preserve">3.6 Step 6: Similar-Patient Insight Integration</w:t>
      </w:r>
    </w:p>
    <w:p>
      <w:pPr>
        <w:spacing w:after="120" w:line="276"/>
      </w:pPr>
      <w:r>
        <w:rPr>
          <w:rFonts w:ascii="Arial" w:cs="Arial" w:eastAsia="Arial" w:hAnsi="Arial"/>
          <w:sz w:val="20"/>
          <w:szCs w:val="20"/>
        </w:rPr>
        <w:t xml:space="preserve">If the IOR store (Deep Dive #4) has sufficient data, the card includes an outcome prediction based on similar patients. This is the flywheel’s output — past intervention outcomes informing the current recommendation.</w:t>
      </w:r>
    </w:p>
    <w:p>
      <w:pPr>
        <w:pStyle w:val="Heading3"/>
        <w:spacing w:after="120" w:before="200"/>
      </w:pPr>
      <w:r>
        <w:rPr>
          <w:rFonts w:ascii="Arial" w:cs="Arial" w:eastAsia="Arial" w:hAnsi="Arial"/>
          <w:b/>
          <w:bCs/>
          <w:color w:val="404040"/>
          <w:sz w:val="24"/>
          <w:szCs w:val="24"/>
        </w:rPr>
        <w:t xml:space="preserve">Insight Generation Logic</w:t>
      </w:r>
    </w:p>
    <w:p>
      <w:pPr>
        <w:spacing w:after="80"/>
        <w:ind w:left="360"/>
      </w:pPr>
      <w:r>
        <w:rPr>
          <w:rFonts w:ascii="Arial" w:cs="Arial" w:eastAsia="Arial" w:hAnsi="Arial"/>
          <w:sz w:val="19"/>
          <w:szCs w:val="19"/>
        </w:rPr>
        <w:t xml:space="preserve">Step 6.1: Extract the candidate intervention from the card (drug_class, intervention_type).</w:t>
      </w:r>
    </w:p>
    <w:p>
      <w:pPr>
        <w:spacing w:after="80"/>
        <w:ind w:left="360"/>
      </w:pPr>
      <w:r>
        <w:rPr>
          <w:rFonts w:ascii="Arial" w:cs="Arial" w:eastAsia="Arial" w:hAnsi="Arial"/>
          <w:sz w:val="19"/>
          <w:szCs w:val="19"/>
        </w:rPr>
        <w:t xml:space="preserve">Step 6.2: Query IOR store with the similar-patient query template (Deep Dive #4, Section 7.4): phenotype_cluster + drug_class + status = CLOSED_COMPLETE + adherence &gt; 0.5 + trajectory_attribution IN (high-confidence set).</w:t>
      </w:r>
    </w:p>
    <w:p>
      <w:pPr>
        <w:spacing w:after="80"/>
        <w:ind w:left="360"/>
      </w:pPr>
      <w:r>
        <w:rPr>
          <w:rFonts w:ascii="Arial" w:cs="Arial" w:eastAsia="Arial" w:hAnsi="Arial"/>
          <w:sz w:val="19"/>
          <w:szCs w:val="19"/>
        </w:rPr>
        <w:t xml:space="preserve">Step 6.3: IF result.count ≥ 30: compute mean and SD for each outcome dimension (FBG delta, SBP delta, weight delta, eGFR delta). Generate insight text:</w:t>
      </w:r>
    </w:p>
    <w:p>
      <w:pPr>
        <w:spacing w:after="120"/>
        <w:ind w:left="720"/>
      </w:pPr>
      <w:r>
        <w:rPr>
          <w:rFonts w:ascii="Arial" w:cs="Arial" w:eastAsia="Arial" w:hAnsi="Arial"/>
          <w:i/>
          <w:iCs/>
          <w:sz w:val="18"/>
          <w:szCs w:val="18"/>
        </w:rPr>
        <w:t xml:space="preserve">‘For {result.count} patients with a similar profile who started {drug_name}: FBG {mean_fbg_delta}±{sd_fbg_delta} mg/dL, SBP {mean_sbp_delta}±{sd_sbp_delta} mmHg, weight {mean_weight_delta}±{sd_weight_delta} kg at {observation_window} days. eGFR dipped {mean_egfr_delta}% initially (expected and protective).’</w:t>
      </w:r>
    </w:p>
    <w:p>
      <w:pPr>
        <w:spacing w:after="80"/>
        <w:ind w:left="360"/>
      </w:pPr>
      <w:r>
        <w:rPr>
          <w:rFonts w:ascii="Arial" w:cs="Arial" w:eastAsia="Arial" w:hAnsi="Arial"/>
          <w:sz w:val="19"/>
          <w:szCs w:val="19"/>
        </w:rPr>
        <w:t xml:space="preserve">Step 6.4: IF result.count &lt; 30: do not show insight. Display: ‘Outcome data from similar patients is not yet available for this intervention.’</w:t>
      </w:r>
    </w:p>
    <w:p>
      <w:pPr>
        <w:spacing w:after="80"/>
        <w:ind w:left="360"/>
      </w:pPr>
      <w:r>
        <w:rPr>
          <w:rFonts w:ascii="Arial" w:cs="Arial" w:eastAsia="Arial" w:hAnsi="Arial"/>
          <w:sz w:val="19"/>
          <w:szCs w:val="19"/>
        </w:rPr>
        <w:t xml:space="preserve">Step 6.5: Append confidence indicator: HIGH (n≥50, high-confidence attributions only), MODERATE (n = 30–49 or mixed attributions), EMERGING (n = 15–29, shown with caveat ‘limited data’ — only displayed if physician opts in to early insights in dashboard settings).</w:t>
      </w:r>
    </w:p>
    <w:p>
      <w:pPr>
        <w:pBdr>
          <w:left w:val="single" w:color="2E75B6" w:sz="6" w:space="8"/>
        </w:pBdr>
        <w:spacing w:after="120"/>
        <w:ind w:left="240"/>
      </w:pPr>
      <w:r>
        <w:rPr>
          <w:rFonts w:ascii="Arial" w:cs="Arial" w:eastAsia="Arial" w:hAnsi="Arial"/>
          <w:i/>
          <w:iCs/>
          <w:color w:val="555555"/>
          <w:sz w:val="20"/>
          <w:szCs w:val="20"/>
        </w:rPr>
        <w:t xml:space="preserve">The insight is DESCRIPTIVE, not prescriptive. It says ‘here is what happened to similar patients’ not ‘therefore you should do this.’ The physician decides. The insight provides data-driven context that supplements clinical judgment — it does not replace it.</w:t>
      </w:r>
    </w:p>
    <w:p>
      <w:pPr>
        <w:pStyle w:val="Heading2"/>
        <w:spacing w:after="160" w:before="280"/>
      </w:pPr>
      <w:r>
        <w:rPr>
          <w:rFonts w:ascii="Arial" w:cs="Arial" w:eastAsia="Arial" w:hAnsi="Arial"/>
          <w:b/>
          <w:bCs/>
          <w:color w:val="2E75B6"/>
          <w:sz w:val="28"/>
          <w:szCs w:val="28"/>
        </w:rPr>
        <w:t xml:space="preserve">3.7 Step 7: Card Emission and Lifecycle</w:t>
      </w:r>
    </w:p>
    <w:p>
      <w:pPr>
        <w:spacing w:after="120" w:line="276"/>
      </w:pPr>
      <w:r>
        <w:rPr>
          <w:rFonts w:ascii="Arial" w:cs="Arial" w:eastAsia="Arial" w:hAnsi="Arial"/>
          <w:sz w:val="20"/>
          <w:szCs w:val="20"/>
        </w:rPr>
        <w:t xml:space="preserve">The generated card is published to clinical.decision-cards Kafka topic and cached in Redis with a configurable TTL.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1200"/>
        <w:gridCol w:w="7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Lifecycle Stage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Redis TTL</w:t>
            </w:r>
          </w:p>
        </w:tc>
        <w:tc>
          <w:tcPr>
            <w:tcW w:type="dxa" w:w="7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V-MCU RunCycle completes Phase 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hours</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 visible in physician dashboard queue.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Viewed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opens the card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VIEWED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TTL paused</w:t>
            </w:r>
          </w:p>
        </w:tc>
        <w:tc>
          <w:tcPr>
            <w:tcW w:type="dxa" w:w="7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Timestamp recorded. Response time clock starts.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taps Approve / Modify / Reject / Defer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TTL cleared</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response captured. If APPROVED/MODIFIED: intervention event emitted. If REJECTED: rejection reason stored. If DEFERRED: card re-enters queue with snooze duration.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Expired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TTL expires without physician action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EXPIRED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Evicted</w:t>
            </w:r>
          </w:p>
        </w:tc>
        <w:tc>
          <w:tcPr>
            <w:tcW w:type="dxa" w:w="7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Logged in SafetyTrace. High expiry rate for a card type indicates: cards are too numerous, too low urgency, or physician workflow doesn’t include regular queue review. Operational alert if expiry rate &gt;30%.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cycle generates a card for the same patient and domain before the previous card was actioned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Evicted</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Old card is replaced by the new one (which reflects more recent data). SafetyTrace records the supersession. The physician only sees the latest card.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Cancelled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 reversed or patient state changed such that the recommendation is no longer applicable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CANCELLED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Evicted</w:t>
            </w:r>
          </w:p>
        </w:tc>
        <w:tc>
          <w:tcPr>
            <w:tcW w:type="dxa" w:w="7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patient’s glucose dropped into range after a dietary change — the MEDICATION_REVIEW card for glucose is no longer needed. System auto-cancels.</w:t>
            </w:r>
          </w:p>
        </w:tc>
      </w:tr>
    </w:tbl>
    <w:p>
      <w:r>
        <w:br w:type="page"/>
      </w:r>
    </w:p>
    <w:p>
      <w:pPr>
        <w:pStyle w:val="Heading1"/>
        <w:spacing w:after="200" w:before="360"/>
      </w:pPr>
      <w:r>
        <w:rPr>
          <w:rFonts w:ascii="Arial" w:cs="Arial" w:eastAsia="Arial" w:hAnsi="Arial"/>
          <w:b/>
          <w:bCs/>
          <w:color w:val="1B3A5C"/>
          <w:sz w:val="32"/>
          <w:szCs w:val="32"/>
        </w:rPr>
        <w:t xml:space="preserve">4. Card Consolidation Rules</w:t>
      </w:r>
    </w:p>
    <w:p>
      <w:pPr>
        <w:spacing w:after="120" w:line="276"/>
      </w:pPr>
      <w:r>
        <w:rPr>
          <w:rFonts w:ascii="Arial" w:cs="Arial" w:eastAsia="Arial" w:hAnsi="Arial"/>
          <w:sz w:val="20"/>
          <w:szCs w:val="20"/>
        </w:rPr>
        <w:t xml:space="preserve">The system prevents card overload through consolidation rules that reduce multiple potential cards into the minimum set needed for clinical action.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00"/>
        <w:gridCol w:w="40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Dual-domain merge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glucose MEDICATION_REVIEW and HYPERTENSION_REVIEW would fire for the same patient AND a shared intervention exists (Step 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Merge into one INTEGRATED_DUAL_DOMAIN card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card instead of 2</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 gap absorption</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PILLAR_GAP card and MEDICATION_REVIEW card both recommend the same drug (e.g., both recommend SGLT2i)</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Keep PILLAR_GAP card (more informative — shows four-pillar context). Suppress MEDICATION_REVIEW.</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 card instead of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Lifestyle before medication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LIFESTYLE_INTENSIFICATION would fire AND MEDICATION_REVIEW would fire for the same domain AND the patient hasn’t tried lifestyle intervention yet AND the gap from target is &lt;20% (modest)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 LIFESTYLE_INTENSIFICATION with note: ‘If lifestyle intervention is insufficient at next cycle (14 days), medication escalation will be recommended.’ Suppress MEDICATION_REVIEW.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card with escalation note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 absorbs routine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SAFETY_ALERT fires AND MEDICATION_REVIEW fires for the same patient</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Show SAFETY_ALERT only. The safety card’s recommended action typically supersedes the routine titration.</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 card. Safety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Maximum 3 active cards per patient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cards would be generated for one patient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Keep top 3 by urgency. Suppress lowest-urgency card(s). Note in the top card: ‘Additional recommendation pending: {suppressed_card_summary}. Will be presented after current actions are resolved.’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cards, no physician overload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Cooldown suppression</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card type for same patient generated within 14 days of a REJECTED card (unless clinical state materially changed)</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Suppress duplicate recommendation. The physician already said no. Only re-present if: (a) trajectory changed from STABLE to DETERIORATING, or (b) new lab values change the clinical picture, or (c) 28 days have elapsed.</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 cards (suppressed). Prevents alarm fatigue.</w:t>
            </w:r>
          </w:p>
        </w:tc>
      </w:tr>
    </w:tbl>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The consolidation rules are evaluated AFTER all card types are independently generated and BEFORE emission to Kafka. The pipeline generates all candidates, then consolidates. SafetyTrace records both the candidates and the consolidation decisions, so an auditor can see what was generated and what was suppressed.</w:t>
      </w:r>
    </w:p>
    <w:p>
      <w:r>
        <w:br w:type="page"/>
      </w:r>
    </w:p>
    <w:p>
      <w:pPr>
        <w:pStyle w:val="Heading1"/>
        <w:spacing w:after="200" w:before="360"/>
      </w:pPr>
      <w:r>
        <w:rPr>
          <w:rFonts w:ascii="Arial" w:cs="Arial" w:eastAsia="Arial" w:hAnsi="Arial"/>
          <w:b/>
          <w:bCs/>
          <w:color w:val="1B3A5C"/>
          <w:sz w:val="32"/>
          <w:szCs w:val="32"/>
        </w:rPr>
        <w:t xml:space="preserve">5. Physician Dashboard — Card Queue UX Specification</w:t>
      </w:r>
    </w:p>
    <w:p>
      <w:pPr>
        <w:spacing w:after="120" w:line="276"/>
      </w:pPr>
      <w:r>
        <w:rPr>
          <w:rFonts w:ascii="Arial" w:cs="Arial" w:eastAsia="Arial" w:hAnsi="Arial"/>
          <w:sz w:val="20"/>
          <w:szCs w:val="20"/>
        </w:rPr>
        <w:t xml:space="preserve">The physician interacts with Decision Cards through five dashboard panels defined in the North Star (Section 2.4 Layer 3). This section specifies the card queue panel in detail.</w:t>
      </w:r>
    </w:p>
    <w:p>
      <w:pPr>
        <w:pStyle w:val="Heading2"/>
        <w:spacing w:after="160" w:before="280"/>
      </w:pPr>
      <w:r>
        <w:rPr>
          <w:rFonts w:ascii="Arial" w:cs="Arial" w:eastAsia="Arial" w:hAnsi="Arial"/>
          <w:b/>
          <w:bCs/>
          <w:color w:val="2E75B6"/>
          <w:sz w:val="28"/>
          <w:szCs w:val="28"/>
        </w:rPr>
        <w:t xml:space="preserve">5.1 Queue Layout</w:t>
      </w:r>
    </w:p>
    <w:p>
      <w:pPr>
        <w:spacing w:after="80"/>
        <w:ind w:left="360"/>
      </w:pPr>
      <w:r>
        <w:rPr>
          <w:rFonts w:ascii="Arial" w:cs="Arial" w:eastAsia="Arial" w:hAnsi="Arial"/>
          <w:sz w:val="19"/>
          <w:szCs w:val="19"/>
        </w:rPr>
        <w:t xml:space="preserve">The card queue shows all PENDING and VIEWED cards across the physician’s patient panel, sorted by urgency (descending). The queue is the physician’s primary workflow surface.</w:t>
      </w:r>
    </w:p>
    <w:p>
      <w:pPr>
        <w:spacing w:after="80"/>
        <w:ind w:left="360"/>
      </w:pPr>
      <w:r>
        <w:rPr>
          <w:rFonts w:ascii="Arial" w:cs="Arial" w:eastAsia="Arial" w:hAnsi="Arial"/>
          <w:sz w:val="19"/>
          <w:szCs w:val="19"/>
        </w:rPr>
        <w:t xml:space="preserve">Each card in the queue shows a ONE-LINE summary: patient name/ID, card type icon, primary recommendation in ≤15 words, urgency badge (colour-coded: red &gt;70, orange 40–70, blue &lt;40), and time since generation.</w:t>
      </w:r>
    </w:p>
    <w:p>
      <w:pPr>
        <w:spacing w:after="80"/>
        <w:ind w:left="360"/>
      </w:pPr>
      <w:r>
        <w:rPr>
          <w:rFonts w:ascii="Arial" w:cs="Arial" w:eastAsia="Arial" w:hAnsi="Arial"/>
          <w:sz w:val="19"/>
          <w:szCs w:val="19"/>
        </w:rPr>
        <w:t xml:space="preserve">Tapping a queue item opens the FULL CARD VIEW with all template sections (patient summary, recommendation, similar patients, safety flags, four-pillar status, action buttons).</w:t>
      </w:r>
    </w:p>
    <w:p>
      <w:pPr>
        <w:spacing w:after="80"/>
        <w:ind w:left="360"/>
      </w:pPr>
      <w:r>
        <w:rPr>
          <w:rFonts w:ascii="Arial" w:cs="Arial" w:eastAsia="Arial" w:hAnsi="Arial"/>
          <w:sz w:val="19"/>
          <w:szCs w:val="19"/>
        </w:rPr>
        <w:t xml:space="preserve">Action buttons are ALWAYS visible without scrolling. The physician should never need to scroll past content to find the Approve button. This is a UX requirement, not a suggestion.</w:t>
      </w:r>
    </w:p>
    <w:p>
      <w:pPr>
        <w:pStyle w:val="Heading2"/>
        <w:spacing w:after="160" w:before="280"/>
      </w:pPr>
      <w:r>
        <w:rPr>
          <w:rFonts w:ascii="Arial" w:cs="Arial" w:eastAsia="Arial" w:hAnsi="Arial"/>
          <w:b/>
          <w:bCs/>
          <w:color w:val="2E75B6"/>
          <w:sz w:val="28"/>
          <w:szCs w:val="28"/>
        </w:rPr>
        <w:t xml:space="preserve">5.2 Card Visual Language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5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c>
          <w:tcPr>
            <w:tcW w:type="dxa" w:w="5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Urgency badge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 circle (≥70), Orange circle (40–69), Blue circle (&lt;40). Number visible inside.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Instant urgency triage without reading the card.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Domain indicators</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 icon (🩸 drop) and/or BP icon (❤️ heart) shown next to card type. Both shown for INTEGRATED_DUAL_DOMAIN.</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immediately knows which domain(s) the card addresses.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Four-pillar mini-bar</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 small squares: green (ACTIVE), yellow (INDICATED/gap), red (CONTRAINDICATED), grey (NOT_INDICATED). Always visible on every card.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At-a-glance pillar status. A physician seeing three yellow squares knows there are three guideline-recommended therapies not yet prescribed.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Trajectory arrows</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Green up-arrow (IMPROVING), grey horizontal (STABLE), red down-arrow (DETERIORATING). One per domain.</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Instant trajectory assessment without reading numbers.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Similar-patient confidence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 rating: ★★★ (HIGH, ≥50 records), ★★ (MODERATE, 30–49), ★ (EMERGING, 15–29), none shown (insufficient).</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knows how much to trust the outcome prediction.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 flag banner</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Red banner across top of card if any safety flag is present. Cannot be missed.</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Ensures safety concerns are seen before the physician reaches the Approve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Dual-benefit highlight</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Green highlight box around the benefits list for INTEGRATED_DUAL_DOMAIN cards: ‘This medication addresses BOTH glucose and BP.’</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Makes the multi-domain argument visually prominent.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Cross-reference note</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Grey italic text at bottom: ‘This card superseded a previous HYPERTENSION_REVIEW. See audit log.’ Or: ‘Additional recommendation (sodium reduction) will be presented after this action.’</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Transparency about consolidation decisions.</w:t>
            </w:r>
          </w:p>
        </w:tc>
      </w:tr>
    </w:tbl>
    <w:p>
      <w:pPr>
        <w:pStyle w:val="Heading2"/>
        <w:spacing w:after="160" w:before="280"/>
      </w:pPr>
      <w:r>
        <w:rPr>
          <w:rFonts w:ascii="Arial" w:cs="Arial" w:eastAsia="Arial" w:hAnsi="Arial"/>
          <w:b/>
          <w:bCs/>
          <w:color w:val="2E75B6"/>
          <w:sz w:val="28"/>
          <w:szCs w:val="28"/>
        </w:rPr>
        <w:t xml:space="preserve">5.3 Action Flow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800"/>
        <w:gridCol w:w="42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Physician Interaction</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4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IOR Impact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 tap. Confirms the recommendation as-is.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event emitted to clinical.intervention-events. InterventionWindowMonitor opens observation window. Medication list updated in KB-20. Patient app notified of change.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 Intervention Record created with physician_action = APPROVED.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Opens structured form pre-filled with the recommendation. Physician changes drug, dose, or target. Structured modification_detail captured.</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Modified intervention emitted. Modification recorded in KB-23 feedback store for pattern analysis (Deep Dive #4, Section 8).</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created with physician_action = MODIFIED, modification_detail populated.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Opens categorised reason selector: CONTRAINDICATION_KNOWN / PATIENT_PREFERENCE / CLINICAL_JUDGMENT / ALREADY_TRIED / COST_BARRIER / TIMING_INAPPROPRIATE. Optional free-text.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 marked ACTIONED (REJECTED). Rejection reason stored. If CONTRAINDICATION_KNOWN: flagged for KB-24 safety rule review within 7 days.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IOR created (intervention not performed). Rejection feeds physician feedback analysis.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DEFER</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selects snooze duration: 7 days / 14 days / 28 days / ‘After next labs.’ Optional reason.</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Card re-enters queue with reduced urgency at snooze expiry. If ‘After next labs’: card re-presents when new lab results arrive for this patient.</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IOR created yet. Card will re-present.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SPLIT (INTEGRATED_DUAL_DOMAIN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taps ‘Handle separately’ — declines the shared intervention and requests individual domain cards.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generates two single-domain cards (MEDICATION_REVIEW + HYPERTENSION_REVIEW) for the physician to action independently. Original INTEGRATED card marked SPLIT.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IOR for the integrated card. Two separate IORs will be created when the individual cards are actioned.</w:t>
            </w:r>
          </w:p>
        </w:tc>
      </w:tr>
    </w:tbl>
    <w:p>
      <w:r>
        <w:br w:type="page"/>
      </w:r>
    </w:p>
    <w:p>
      <w:pPr>
        <w:pStyle w:val="Heading1"/>
        <w:spacing w:after="200" w:before="360"/>
      </w:pPr>
      <w:r>
        <w:rPr>
          <w:rFonts w:ascii="Arial" w:cs="Arial" w:eastAsia="Arial" w:hAnsi="Arial"/>
          <w:b/>
          <w:bCs/>
          <w:color w:val="1B3A5C"/>
          <w:sz w:val="32"/>
          <w:szCs w:val="32"/>
        </w:rPr>
        <w:t xml:space="preserve">6. Data Sources — What Feeds Into Every Card</w:t>
      </w:r>
    </w:p>
    <w:p>
      <w:pPr>
        <w:spacing w:after="120" w:line="276"/>
      </w:pPr>
      <w:r>
        <w:rPr>
          <w:rFonts w:ascii="Arial" w:cs="Arial" w:eastAsia="Arial" w:hAnsi="Arial"/>
          <w:sz w:val="20"/>
          <w:szCs w:val="20"/>
        </w:rPr>
        <w:t xml:space="preserve">The card generator is a consumer of outputs from every upstream component. This table maps the data dependency for each card section.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gridCol w:w="4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 Section</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Deep Dive Reference</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Latency 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summary (age, comorbidities, current meds)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ChannelB + ChannelC projection (Redis, &lt;1ms)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Master Architecture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 (cached in Redis)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 state (HbA1c, FBG, TIR, trajectory)</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glucose trajectory engine + Flink CGM aggregation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V3 + Deep Dive #2 (Tier awareness)</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Real-time (projection rebuilt on each new reading)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state (SBP avg, ARV, surge, dip, pattern)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BP trajectory + BP Variability Engine 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 + Deep Dive #1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 (BP variability metrics updated on each reading)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Renal state (eGFR, UACR, K+, CKD stage, slope)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renal trajectory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V3</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Updated on lab arrival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Four-pillar assessment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ChannelC: PillarAssessment object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Dive #3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Recomputed on each projection rebuild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Meal-response profile (worst foods, sodium, compliance)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MealPatternAggregator output in KB-20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Deep Dive #2</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Updated weekly (tumbling 7-day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Salt sensitivity phenotype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MealPatternAggregator sodium_bp_slope_rolling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Dive #2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Updated weekly, requires ≥30 sodium-BP pairs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 score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 Monitor (Flink) output in KB-20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North Star Section 2.3</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Updated 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recommendation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V-MCU RunCycle: GLYC-1/HTN-1/RENAL-1 protocol evaluation + four-pillar sequencing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Dive #3 + V3 V-MCU engine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Computed within current RunCycle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 flags</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KB-24 ADR pipeline + Channel B gate evaluation + comorbidity interaction detector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V3 KB-24 + North Star Section 2.3</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Evaluated within current RunCycle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Similar-patient insight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 store query (PostgreSQL)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Dive #4, Section 7.4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Query must complete in &lt;500ms. Pre-computed materialised view recommended for frequent drug_class + phenotype combinations.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feedback history</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 feedback store: previous rejection/modification for this patient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Deep Dive #4, Section 8</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Query for cooldown suppression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CDI score + PREVENT risk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CDI engine + PREVENT calculator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 (recomputed on projection rebuild)</w:t>
            </w:r>
          </w:p>
        </w:tc>
      </w:tr>
    </w:tbl>
    <w:p>
      <w:pPr>
        <w:pBdr>
          <w:left w:val="single" w:color="2E75B6" w:sz="6" w:space="8"/>
        </w:pBdr>
        <w:spacing w:after="120"/>
        <w:ind w:left="240"/>
      </w:pPr>
      <w:r>
        <w:rPr>
          <w:rFonts w:ascii="Arial" w:cs="Arial" w:eastAsia="Arial" w:hAnsi="Arial"/>
          <w:i/>
          <w:iCs/>
          <w:color w:val="555555"/>
          <w:sz w:val="20"/>
          <w:szCs w:val="20"/>
        </w:rPr>
        <w:t xml:space="preserve">All data sources except the IOR store query are available in &lt;10ms (Redis or in-memory). The IOR store query is the only database query in the card generation pipeline. It must complete in &lt;500ms. If the IOR store grows large (≥100K records), a materialised view pre-aggregating outcomes by drug_class + phenotype_cluster + intervention_type should be maintained to keep query performance within budget.</w:t>
      </w:r>
    </w:p>
    <w:p>
      <w:r>
        <w:br w:type="page"/>
      </w:r>
    </w:p>
    <w:p>
      <w:pPr>
        <w:pStyle w:val="Heading1"/>
        <w:spacing w:after="200" w:before="360"/>
      </w:pPr>
      <w:r>
        <w:rPr>
          <w:rFonts w:ascii="Arial" w:cs="Arial" w:eastAsia="Arial" w:hAnsi="Arial"/>
          <w:b/>
          <w:bCs/>
          <w:color w:val="1B3A5C"/>
          <w:sz w:val="32"/>
          <w:szCs w:val="32"/>
        </w:rPr>
        <w:t xml:space="preserve">7. Card Analytics — Measuring Card Effectiveness</w:t>
      </w:r>
    </w:p>
    <w:p>
      <w:pPr>
        <w:spacing w:after="120" w:line="276"/>
      </w:pPr>
      <w:r>
        <w:rPr>
          <w:rFonts w:ascii="Arial" w:cs="Arial" w:eastAsia="Arial" w:hAnsi="Arial"/>
          <w:sz w:val="20"/>
          <w:szCs w:val="20"/>
        </w:rPr>
        <w:t xml:space="preserve">Decision Cards are the system’s output. Measuring their effectiveness closes the quality loop.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00"/>
        <w:gridCol w:w="50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if Below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Acceptance rate (overall)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APPROVED / (APPROVED + MODIFIED + REJECTED) across all card 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 at 6 months, 85% at 12 months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card content quality. Are recommendations clinically appropriate? Is the similar-patient insight helping?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Acceptance rate by card type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per card type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INTEGRATED_DUAL_DOMAIN should have HIGHER acceptance than single-domain (the dual-benefit framing should be more persuasive)</w:t>
            </w:r>
          </w:p>
        </w:tc>
        <w:tc>
          <w:tcPr>
            <w:tcW w:type="dxa" w:w="5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INTEGRATED has lower acceptance: the shared intervention may not be compelling, or the dual-benefit template needs refinement.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Modification rate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MODIFIED / total actioned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&lt;20% at 12 months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&gt;20%: the system is recommending the wrong dose or drug. Monthly batch analysis of modification patterns (Deep Dive #4) should feed back into KB-23 logic.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Response time (median)</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Time from card generation to physician action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&lt;24 hours for urgency ≥50. &lt;72 hours for urgency &lt;50.</w:t>
            </w:r>
          </w:p>
        </w:tc>
        <w:tc>
          <w:tcPr>
            <w:tcW w:type="dxa" w:w="5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response times are long: either the dashboard isn’t integrated into workflow, or there are too many cards (check consolidation effectiveness).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Expiry rate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EXPIRED / total generated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&lt;10%</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&gt;10%: too many cards, too low urgency, or physician workflow gap. Consider tightening consolidation rules.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outcome by card type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APPROVED cards: what was the IOR outcome? INTERVENTION_REVERSED_DECLINE rate.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Increasing over time as similar-patient insights improve recommendation quality</w:t>
            </w:r>
          </w:p>
        </w:tc>
        <w:tc>
          <w:tcPr>
            <w:tcW w:type="dxa" w:w="5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ultimate metric. If accepted cards produce poor outcomes, the recommendation logic needs revision.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Dual-domain uplift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Percentage of UNCONTROLLED_UNCONTROLLED patients who received INTEGRATED_DUAL_DOMAIN card vs two separate cards, and the relative acceptance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INTEGRATED cards accepted at higher rate than separate card pairs for same patient</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no uplift: the integration isn’t adding value. Review shared intervention detection logic.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 gap closure rate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Of PILLAR_GAP cards generated, what percentage result in pillar addition within 28 days?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&gt;40% at 12 months</w:t>
            </w:r>
          </w:p>
        </w:tc>
        <w:tc>
          <w:tcPr>
            <w:tcW w:type="dxa" w:w="5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&lt;40%: physicians are not closing pillar gaps. Review: are cost barriers preventing adoption? Are contraindications correctly identified? Is the four-pillar rationale sufficiently communicated?</w:t>
            </w:r>
          </w:p>
        </w:tc>
      </w:tr>
    </w:tbl>
    <w:p>
      <w:r>
        <w:br w:type="page"/>
      </w:r>
    </w:p>
    <w:p>
      <w:pPr>
        <w:pStyle w:val="Heading1"/>
        <w:spacing w:after="200" w:before="360"/>
      </w:pPr>
      <w:r>
        <w:rPr>
          <w:rFonts w:ascii="Arial" w:cs="Arial" w:eastAsia="Arial" w:hAnsi="Arial"/>
          <w:b/>
          <w:bCs/>
          <w:color w:val="1B3A5C"/>
          <w:sz w:val="32"/>
          <w:szCs w:val="32"/>
        </w:rPr>
        <w:t xml:space="preserve">8. Implementation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600"/>
        <w:gridCol w:w="4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A: Card Type Registry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1–2</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Extend KB-23 card builder with V4 card types: INTEGRATED_DUAL_DOMAIN, PILLAR_GAP, MEAL_INTERVENTION, SODIUM_REDUCTION, BP_VARIABILITY, MORNING_SURGE, DIPPING_ASSESSMENT, SU_DEPRESCRIBE, LIFESTYLE_INTENSIFICATION. Card schema validation. Type-specific template stubs.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card builder (V3, exists). Card type enum extension.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B: Dual-Domain State Classification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2–3</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Wire V-MCU RunCycle Phase 13 to assess dual-domain state (Section 3.1) before generating cards. Implement CONTROLLED_CONTROLLED through SAFETY_ALERT state machine. Unit tests for all 6 states.</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V-MCU RunCycle (V3, exists). KB-20 projections with both glucose and BP trajectory data flowing.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C: Shared Intervention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3–5</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Step 2 (Section 3.2): shared intervention check for UNCONTROLLED_UNCONTROLLED state. Wire four-pillar assessment as primary shared intervention source. Wire MealPatternAggregator for sodium/lifestyle shared interventions. Generate INTEGRATED_DUAL_DOMAIN cards.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Four-pillar assessment (Deep Dive #3). MealPatternAggregator (Deep Dive #2). Both must be producing output.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D: Conflict Resolution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5–6</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Implement Step 3 (Section 3.3): 5 conflict scenarios with deterministic resolution logic. Unit tests for each conflict. SafetyTrace logging of conflict detection and resolution.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Channel B safety gates (V3). DEPRESC-1 protocol template. KB-24 cross-domain safety rules (Deep Dive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E: Urgency Calculation + Consolidation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6–7</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Step 4 (Section 3.4): urgency formula with all modifiers. Implement Section 4 consolidation rules (6 rules). Maximum-3-card enforcement. Cooldown suppression from physician feedback history. Unit tests for all consolidation scenarios.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feedback store (Deep Dive #4, Phase B). CDI engine (V3).</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F: Template Engine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7–9</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Implement Step 5 (Section 3.5): card content templates for all 13 card types. Template library in Clinical Content Service :8135 (versioned, localisable). String interpolation from patient state + recommendation + safety flags. Physician dashboard card rendering.</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Content Service (V3). Physician Dashboard MVP (V3 Workstream B).</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G: IOR Insight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9–11</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Step 6 (Section 3.6): IOR store query integration. Similar-patient insight generation. Confidence indicators. Threshold enforcement (≥30 records). Pre-computed materialised view for top 10 drug_class + phenotype combinations.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 store with ≥30 CLOSED_COMPLETE records per drug class (Deep Dive #4, Phase D). Requires ~3+ months of pilot data.</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H: Card Analytics Dashboard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11–12</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Implement Section 7 metrics. Acceptance rate tracking per card type. Modification and rejection pattern dashboards. Expiry rate monitoring. Integration with ops alerting (expiry &gt;10%, acceptance &lt;60% triggers alert).</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Sufficient physician interaction data (≥100 actioned cards across types).</w:t>
            </w:r>
          </w:p>
        </w:tc>
      </w:tr>
    </w:tbl>
    <w:p>
      <w:pPr>
        <w:pBdr>
          <w:left w:val="single" w:color="2E75B6" w:sz="6" w:space="8"/>
        </w:pBdr>
        <w:spacing w:after="120"/>
        <w:ind w:left="240"/>
      </w:pPr>
      <w:r>
        <w:rPr>
          <w:rFonts w:ascii="Arial" w:cs="Arial" w:eastAsia="Arial" w:hAnsi="Arial"/>
          <w:i/>
          <w:iCs/>
          <w:color w:val="555555"/>
          <w:sz w:val="20"/>
          <w:szCs w:val="20"/>
        </w:rPr>
        <w:t xml:space="preserve">Phases A–E can start immediately alongside other deep dives. Phase F depends on dashboard MVP from V3 Workstream B. Phase G requires IOR data accumulation (3+ months of pilot). Phase H is a Phase 3 deliverable. The card generator is the LAST component in the pipeline — it depends on everything upstream but nothing downstream depends on it except the physician.</w:t>
      </w:r>
    </w:p>
    <w:p>
      <w:pPr>
        <w:spacing w:before="400"/>
      </w:pPr>
      <w:r>
        <w:rPr>
          <w:rFonts w:ascii="Arial" w:cs="Arial" w:eastAsia="Arial" w:hAnsi="Arial"/>
          <w:b/>
          <w:bCs/>
          <w:sz w:val="20"/>
          <w:szCs w:val="20"/>
        </w:rPr>
        <w:t xml:space="preserve">The Decision Card is the moment where clinical intelligence meets clinical practice. </w:t>
      </w:r>
      <w:r>
        <w:rPr>
          <w:rFonts w:ascii="Arial" w:cs="Arial" w:eastAsia="Arial" w:hAnsi="Arial"/>
          <w:sz w:val="20"/>
          <w:szCs w:val="20"/>
        </w:rPr>
        <w:t xml:space="preserve">Every upstream component — BP variability patterns, meal-glucose correlations, four-pillar gap analysis, intervention-outcome evidence, safety rules, engagement signals — converges into a single artifact that a physician reads in 30 seconds and acts on with one tap. If this artifact is well-designed, the physician trusts the system. If it’s poorly designed, the physician ignores it. Card quality is not a UX concern — it is the clinical outcome determinant.</w:t>
      </w:r>
    </w:p>
    <w:p>
      <w:pPr>
        <w:spacing w:before="400"/>
      </w:pPr>
      <w:r>
        <w:rPr>
          <w:rFonts w:ascii="Arial" w:cs="Arial" w:eastAsia="Arial" w:hAnsi="Arial"/>
          <w:i/>
          <w:iCs/>
          <w:color w:val="888888"/>
          <w:sz w:val="20"/>
          <w:szCs w:val="20"/>
        </w:rPr>
        <w:t xml:space="preserve">End of Deep Dive #5: Dual-Domain Decision Card Generator</w:t>
      </w:r>
    </w:p>
    <w:p>
      <w:r>
        <w:rPr>
          <w:rFonts w:ascii="Arial" w:cs="Arial" w:eastAsia="Arial" w:hAnsi="Arial"/>
          <w:color w:val="888888"/>
          <w:sz w:val="18"/>
          <w:szCs w:val="18"/>
        </w:rPr>
        <w:t xml:space="preserve">Next deep dive: #6 — IHCI / GP Clinical System Integration Layer</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Deep Dive #5: Dual-Domain Decision Card Generator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2026-03-26T02:56:45.845Z</dcterms:created>
  <dcterms:modified xsi:type="dcterms:W3CDTF">2026-03-26T02:56:45.846Z</dcterms:modified>
</cp:coreProperties>
</file>

<file path=docProps/custom.xml><?xml version="1.0" encoding="utf-8"?>
<Properties xmlns="http://schemas.openxmlformats.org/officeDocument/2006/custom-properties" xmlns:vt="http://schemas.openxmlformats.org/officeDocument/2006/docPropsVTypes"/>
</file>