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#6</w:t>
      </w:r>
    </w:p>
    <w:p>
      <w:pPr>
        <w:spacing w:after="200"/>
        <w:jc w:val="center"/>
      </w:pPr>
      <w:r>
        <w:rPr>
          <w:rFonts w:ascii="Arial" w:cs="Arial" w:eastAsia="Arial" w:hAnsi="Arial"/>
          <w:color w:val="2E75B6"/>
          <w:sz w:val="36"/>
          <w:szCs w:val="36"/>
        </w:rPr>
        <w:t xml:space="preserve">MHRI Score Computation</w:t>
      </w:r>
    </w:p>
    <w:p>
      <w:pPr>
        <w:spacing w:after="200"/>
        <w:jc w:val="center"/>
      </w:pPr>
      <w:r>
        <w:rPr>
          <w:rFonts w:ascii="Arial" w:cs="Arial" w:eastAsia="Arial" w:hAnsi="Arial"/>
          <w:color w:val="555555"/>
          <w:sz w:val="24"/>
          <w:szCs w:val="24"/>
        </w:rPr>
        <w:t xml:space="preserve">Metabolic-Hemodynamic Risk Index • Component Normalization • Trajectory Engine</w:t>
      </w:r>
    </w:p>
    <w:p>
      <w:pPr>
        <w:spacing w:after="200"/>
        <w:jc w:val="center"/>
      </w:pPr>
      <w:r>
        <w:rPr>
          <w:rFonts w:ascii="Arial" w:cs="Arial" w:eastAsia="Arial" w:hAnsi="Arial"/>
          <w:color w:val="777777"/>
          <w:sz w:val="22"/>
          <w:szCs w:val="22"/>
        </w:rPr>
        <w:t xml:space="preserve">Calibration Against Clinical Outcomes • AHA CKM Stage Alignment • Data-Tier Degradation</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What the MHRI Score Must Do</w:t>
      </w:r>
    </w:p>
    <w:p>
      <w:pPr>
        <w:spacing w:after="120" w:line="276"/>
      </w:pPr>
      <w:r>
        <w:rPr>
          <w:rFonts w:ascii="Arial" w:cs="Arial" w:eastAsia="Arial" w:hAnsi="Arial"/>
          <w:sz w:val="20"/>
          <w:szCs w:val="20"/>
        </w:rPr>
        <w:t xml:space="preserve">MHRI is a single number (0–100) that answers the question every stakeholder asks differently: the physician asks ‘how is this patient doing overall?’, the insurer asks ‘is this patient’s risk increasing or decreasing?’, the population health manager asks ‘which patients need attention?’, and the correction loop asks ‘how urgently does this patient need intervention?’ The MHRI must serve all four purposes with one score.</w:t>
      </w:r>
    </w:p>
    <w:p>
      <w:pPr>
        <w:spacing w:after="120" w:line="276"/>
      </w:pPr>
      <w:r>
        <w:rPr>
          <w:rFonts w:ascii="Arial" w:cs="Arial" w:eastAsia="Arial" w:hAnsi="Arial"/>
          <w:sz w:val="20"/>
          <w:szCs w:val="20"/>
        </w:rPr>
        <w:t xml:space="preserve">It extends V3’s Metabolic Risk Index (MRI, 4 domains) by adding the hemodynamic dimension. The MRI tracked glucose, renal, metabolic, and engagement. MHRI adds BP control and BP variability as equal partners — reflecting the AHA 2023 CKM health framework that recognises cardiovascular, kidney, and metabolic health as a single interconnected system.</w:t>
      </w:r>
    </w:p>
    <w:p>
      <w:pPr>
        <w:pStyle w:val="Heading2"/>
        <w:spacing w:after="160" w:before="280"/>
      </w:pPr>
      <w:r>
        <w:rPr>
          <w:rFonts w:ascii="Arial" w:cs="Arial" w:eastAsia="Arial" w:hAnsi="Arial"/>
          <w:b/>
          <w:bCs/>
          <w:color w:val="2E75B6"/>
          <w:sz w:val="28"/>
          <w:szCs w:val="28"/>
        </w:rPr>
        <w:t xml:space="preserve">1.1 What MHRI Is NOT</w:t>
      </w:r>
    </w:p>
    <w:p>
      <w:pPr>
        <w:spacing w:after="120" w:line="276"/>
      </w:pPr>
      <w:r>
        <w:rPr>
          <w:rFonts w:ascii="Arial" w:cs="Arial" w:eastAsia="Arial" w:hAnsi="Arial"/>
          <w:sz w:val="20"/>
          <w:szCs w:val="20"/>
        </w:rPr>
        <w:t xml:space="preserve">MHRI is NOT a diagnostic score (it does not diagnose diseases). MHRI is NOT a 10-year CV risk predictor (PREVENT/PCE-ASCVD do that — MHRI is complementary, not competing). MHRI is NOT a clinical decision maker (the V-MCU reads it but makes decisions from domain-specific state, not from the composite). MHRI IS: a longitudinal health trajectory tracker that compresses ~50 clinical variables into a single trend-line. Its value is in the TRAJECTORY, not the absolute number.</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MHRI trajectory drives correction loop urgency. A patient at MHRI 55 and DECLINING triggers intervention sooner than a patient at MHRI 50 and STABLE. The trajectory is the clinically actionable signal. The absolute number is the summary.</w:t>
      </w:r>
    </w:p>
    <w:p>
      <w:r>
        <w:br w:type="page"/>
      </w:r>
    </w:p>
    <w:p>
      <w:pPr>
        <w:pStyle w:val="Heading1"/>
        <w:spacing w:after="200" w:before="360"/>
      </w:pPr>
      <w:r>
        <w:rPr>
          <w:rFonts w:ascii="Arial" w:cs="Arial" w:eastAsia="Arial" w:hAnsi="Arial"/>
          <w:b/>
          <w:bCs/>
          <w:color w:val="1B3A5C"/>
          <w:sz w:val="32"/>
          <w:szCs w:val="32"/>
        </w:rPr>
        <w:t xml:space="preserve">2. Five-Component Architecture with Weighted Normalization</w:t>
      </w:r>
    </w:p>
    <w:p>
      <w:pPr>
        <w:spacing w:after="120" w:line="276"/>
      </w:pPr>
      <w:r>
        <w:rPr>
          <w:rFonts w:ascii="Arial" w:cs="Arial" w:eastAsia="Arial" w:hAnsi="Arial"/>
          <w:sz w:val="20"/>
          <w:szCs w:val="20"/>
        </w:rPr>
        <w:t xml:space="preserve">Each component transforms multiple clinical inputs into a 0–N sub-score, where N is the component’s maximum weight. The composite MHRI = sum of all five component sub-scores. Higher = healthier.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400"/>
        <w:gridCol w:w="3200"/>
        <w:gridCol w:w="1600"/>
        <w:gridCol w:w="3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 (Max Points)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 for Weight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Variables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Minimum Data for Computation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Glycemic Control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dysregulation is the index disease. HbA1c is the strongest predictor of microvascular complications. In dual-disease patients, glycemic trajectory most directly reflects treatment 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HbA1c (or GMI from CGM), FBG 7d avg, glucose CV 7d (if CGM), TIR 7d (if CGM), hypoglycemia frequency 14d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each glucose reading (CGM: every 5 min, SMBG: 2–4/day)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FBG or HbA1c within 90 days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Hemodynamic Control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25 / 100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is the co-equal disease domain in the cardiometabolic platform. Uncontrolled hypertension has independent and multiplicative risk when combined with diabetes. BP variability adds prognostic power beyond average BP (J-HOP C-statistic 0.760).</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7d avg, DBP 7d avg, ARV SBP 7d (from Deep Dive #1), morning surge 7d avg, BP control status (binary), dip classification confidence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 each BP reading (cuff: 2/day, cuffless: 10–48/day)</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 reading within 7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Renal Function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 /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CKD is the strongest amplifier of CV risk in diabetes. eGFR slope is the most predictive trajectory signal for long-term outcomes. UACR is the earliest marker of renal injury and a target for four-pillar therapy.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latest, eGFR slope (annual, requires ≥3 values over ≥12 months), UACR latest, CKD stage, potassium latest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each lab result (quarterly for most, monthly for CKD 3b+)</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within 6 months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Metabolic Status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 / 100</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Obesity (especially visceral) is the upstream driver of both diabetes and hypertension in South Asians. Weight trajectory and lipid profile moderate CV risk independent of glycemia and BP.</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BMI (from clinicalParams thresholds), waist circumference, weight trajectory 30d (direction + rate), LDL latest, triglyceride/HDL ratio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 weight measurement (weekly target) or lab result</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BMI or weight within 30 days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Engagement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 / 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disengaged patient cannot benefit from any clinical intervention. Platform data quality collapses without engagement. Engagement predicts adherence, which predicts outcomes. IHCI data shows 49% loss-to-follow-up — engagement monitoring is a survival metric.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data density (days with reading / total days, last 14d), BP data density (same), meal logging compliance (meals logged / expected, last 7d), medication reminder response rate (acks / prompts, last 14d), app session recency (days since last)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(from Engagement Monitor Flink job)</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data activity within 14 days</w:t>
            </w:r>
          </w:p>
        </w:tc>
      </w:tr>
    </w:tbl>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BMI thresholds for the Metabolic Status component come from clinicalParams.bmi_overweight_threshold and clinicalParams.bmi_obese_threshold (India: 23/25, Australia: 25/30, Australia/Indigenous: 23/27.5). The normalization function uses these thresholds, not hardcoded values.</w:t>
      </w:r>
    </w:p>
    <w:p>
      <w:r>
        <w:br w:type="page"/>
      </w:r>
    </w:p>
    <w:p>
      <w:pPr>
        <w:pStyle w:val="Heading1"/>
        <w:spacing w:after="200" w:before="360"/>
      </w:pPr>
      <w:r>
        <w:rPr>
          <w:rFonts w:ascii="Arial" w:cs="Arial" w:eastAsia="Arial" w:hAnsi="Arial"/>
          <w:b/>
          <w:bCs/>
          <w:color w:val="1B3A5C"/>
          <w:sz w:val="32"/>
          <w:szCs w:val="32"/>
        </w:rPr>
        <w:t xml:space="preserve">3. Normalization Functions — Raw Value to 0–1 Score Per Input</w:t>
      </w:r>
    </w:p>
    <w:p>
      <w:pPr>
        <w:spacing w:after="120" w:line="276"/>
      </w:pPr>
      <w:r>
        <w:rPr>
          <w:rFonts w:ascii="Arial" w:cs="Arial" w:eastAsia="Arial" w:hAnsi="Arial"/>
          <w:sz w:val="20"/>
          <w:szCs w:val="20"/>
        </w:rPr>
        <w:t xml:space="preserve">Each input variable is normalized to a 0–1 range using a piecewise linear function. The function maps clinical values to a health score where 1.0 = optimal and 0.0 = severely abnormal. The breakpoints are derived from ADA 2026, KDIGO 2024, and ESC 2024 clinical guidelines.</w:t>
      </w:r>
    </w:p>
    <w:p>
      <w:pPr>
        <w:pStyle w:val="Heading2"/>
        <w:spacing w:after="160" w:before="280"/>
      </w:pPr>
      <w:r>
        <w:rPr>
          <w:rFonts w:ascii="Arial" w:cs="Arial" w:eastAsia="Arial" w:hAnsi="Arial"/>
          <w:b/>
          <w:bCs/>
          <w:color w:val="2E75B6"/>
          <w:sz w:val="28"/>
          <w:szCs w:val="28"/>
        </w:rPr>
        <w:t xml:space="preserve">3.1 Glycemic Component Inputs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1200"/>
        <w:gridCol w:w="52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(score = 1.0)</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Good (0.8)</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 (0.5)</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Poor (0.2)</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Severe (0.0)</w:t>
            </w:r>
          </w:p>
        </w:tc>
        <w:tc>
          <w:tcPr>
            <w:tcW w:type="dxa" w:w="5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HbA1c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≥9.5</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from clinicalParams.hba1c_target_default. Elderly/frail targets shift the curve right by 1.0 (e.g., 8.0 = ‘Good’ instead of ‘Moderate’).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FBG 7d avg (mg/dL)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≤90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90–110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110–140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140–180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≥180</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Primary signal for Tier 2/3 patients without HbA1c. Used as GMI proxy when CGM available.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CV % (CGM only)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36–44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≥44</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CV &lt; 36% is the ADA glycemic variability target. Tier 1 and Tier 2 CGM days only. Null for Tier 3.</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TIR % (CGM only)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≥80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70–80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55–70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40–55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&lt;40</w:t>
            </w:r>
          </w:p>
        </w:tc>
        <w:tc>
          <w:tcPr>
            <w:tcW w:type="dxa" w:w="5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ADA 2026: TIR &gt;70% is the target. Tier 1 and Tier 2 CGM days only. Null for Tier 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Hypoglycemia events (14d)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hypo event (&lt;54 mg/dL) is clinically significant. ≥2 events in 14 days triggers safety concern.</w:t>
            </w:r>
          </w:p>
        </w:tc>
      </w:tr>
    </w:tbl>
    <w:p>
      <w:pPr>
        <w:pStyle w:val="Heading3"/>
        <w:spacing w:after="120" w:before="200"/>
      </w:pPr>
      <w:r>
        <w:rPr>
          <w:rFonts w:ascii="Arial" w:cs="Arial" w:eastAsia="Arial" w:hAnsi="Arial"/>
          <w:b/>
          <w:bCs/>
          <w:color w:val="404040"/>
          <w:sz w:val="24"/>
          <w:szCs w:val="24"/>
        </w:rPr>
        <w:t xml:space="preserve">Glycemic Sub-Score Computation</w:t>
      </w:r>
    </w:p>
    <w:p>
      <w:pPr>
        <w:spacing w:after="80"/>
        <w:ind w:left="360"/>
      </w:pPr>
      <w:r>
        <w:rPr>
          <w:rFonts w:ascii="Arial" w:cs="Arial" w:eastAsia="Arial" w:hAnsi="Arial"/>
          <w:sz w:val="19"/>
          <w:szCs w:val="19"/>
        </w:rPr>
        <w:t xml:space="preserve">IF CGM active (Tier 1 or Tier 2 CGM day): glycemic_raw = 0.30 × norm(HbA1c) + 0.20 × norm(FBG_7d) + 0.20 × norm(glucose_CV) + 0.20 × norm(TIR) + 0.10 × norm(hypo_frequency)</w:t>
      </w:r>
    </w:p>
    <w:p>
      <w:pPr>
        <w:spacing w:after="80"/>
        <w:ind w:left="360"/>
      </w:pPr>
      <w:r>
        <w:rPr>
          <w:rFonts w:ascii="Arial" w:cs="Arial" w:eastAsia="Arial" w:hAnsi="Arial"/>
          <w:sz w:val="19"/>
          <w:szCs w:val="19"/>
        </w:rPr>
        <w:t xml:space="preserve">IF SMBG only (Tier 2 SMBG day or Tier 3): glycemic_raw = 0.40 × norm(HbA1c) + 0.45 × norm(FBG_7d) + 0.15 × norm(hypo_frequency). CV and TIR are null — their weights are redistributed to HbA1c and FBG.</w:t>
      </w:r>
    </w:p>
    <w:p>
      <w:pPr>
        <w:spacing w:after="80"/>
        <w:ind w:left="360"/>
      </w:pPr>
      <w:r>
        <w:rPr>
          <w:rFonts w:ascii="Arial" w:cs="Arial" w:eastAsia="Arial" w:hAnsi="Arial"/>
          <w:sz w:val="19"/>
          <w:szCs w:val="19"/>
        </w:rPr>
        <w:t xml:space="preserve">glycemic_component = glycemic_raw × 25 (scales 0–1 to 0–25)</w:t>
      </w:r>
    </w:p>
    <w:p>
      <w:pPr>
        <w:pBdr>
          <w:left w:val="single" w:color="2E75B6" w:sz="6" w:space="8"/>
        </w:pBdr>
        <w:spacing w:after="120"/>
        <w:ind w:left="240"/>
      </w:pPr>
      <w:r>
        <w:rPr>
          <w:rFonts w:ascii="Arial" w:cs="Arial" w:eastAsia="Arial" w:hAnsi="Arial"/>
          <w:i/>
          <w:iCs/>
          <w:color w:val="555555"/>
          <w:sz w:val="20"/>
          <w:szCs w:val="20"/>
        </w:rPr>
        <w:t xml:space="preserve">The weight redistribution for Tier 3 patients means the glycemic component is computed from fewer signals but the SAME 0–25 range. A Tier 3 patient with excellent FBG and HbA1c can still achieve glycemic_component = 25. The score is not penalised for data tier — it’s computed from available data.</w:t>
      </w:r>
    </w:p>
    <w:p>
      <w:pPr>
        <w:pStyle w:val="Heading2"/>
        <w:spacing w:after="160" w:before="280"/>
      </w:pPr>
      <w:r>
        <w:rPr>
          <w:rFonts w:ascii="Arial" w:cs="Arial" w:eastAsia="Arial" w:hAnsi="Arial"/>
          <w:b/>
          <w:bCs/>
          <w:color w:val="2E75B6"/>
          <w:sz w:val="28"/>
          <w:szCs w:val="28"/>
        </w:rPr>
        <w:t xml:space="preserve">3.2 Hemodynamic Component Inputs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5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(1.0)</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Good (0.8)</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 (0.5)</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Poor (0.2)</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Severe (0.0)</w:t>
            </w:r>
          </w:p>
        </w:tc>
        <w:tc>
          <w:tcPr>
            <w:tcW w:type="dxa" w:w="5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SBP 7d avg (mmHg)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120–130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130–145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145–165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≥165</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from clinicalParams.sbp_target_default. Score anchored to the patient’s personalised target.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DBP 7d avg (mmHg)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75–80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80–90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90–100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DBP contributes less than SBP but diastolic burden matters for end-organ damage.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ARV SBP 7d (mmHg)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&gt;16 or null (insufficient data)</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Deep Dive #1. Null ARV (insufficient data) maps to 0.5 (unknown, not penalised).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Morning surge 7d avg (mmHg)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15–20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20–30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30–40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≥40</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Deep Dive #1. Null (no paired morning/evening readings) maps to 0.5.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control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CONTROLLED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UNCONTROLLED (0.0)</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Binary. From BP Variability Engine output.</w:t>
            </w:r>
          </w:p>
        </w:tc>
      </w:tr>
    </w:tbl>
    <w:p>
      <w:pPr>
        <w:pStyle w:val="Heading3"/>
        <w:spacing w:after="120" w:before="200"/>
      </w:pPr>
      <w:r>
        <w:rPr>
          <w:rFonts w:ascii="Arial" w:cs="Arial" w:eastAsia="Arial" w:hAnsi="Arial"/>
          <w:b/>
          <w:bCs/>
          <w:color w:val="404040"/>
          <w:sz w:val="24"/>
          <w:szCs w:val="24"/>
        </w:rPr>
        <w:t xml:space="preserve">Hemodynamic Sub-Score Computation</w:t>
      </w:r>
    </w:p>
    <w:p>
      <w:pPr>
        <w:spacing w:after="80"/>
        <w:ind w:left="360"/>
      </w:pPr>
      <w:r>
        <w:rPr>
          <w:rFonts w:ascii="Arial" w:cs="Arial" w:eastAsia="Arial" w:hAnsi="Arial"/>
          <w:sz w:val="19"/>
          <w:szCs w:val="19"/>
        </w:rPr>
        <w:t xml:space="preserve">hemodynamic_raw = 0.35 × norm(SBP_7d) + 0.15 × norm(DBP_7d) + 0.20 × norm(ARV_7d) + 0.15 × norm(morning_surge) + 0.15 × norm(bp_control_status)</w:t>
      </w:r>
    </w:p>
    <w:p>
      <w:pPr>
        <w:spacing w:after="80"/>
        <w:ind w:left="360"/>
      </w:pPr>
      <w:r>
        <w:rPr>
          <w:rFonts w:ascii="Arial" w:cs="Arial" w:eastAsia="Arial" w:hAnsi="Arial"/>
          <w:sz w:val="19"/>
          <w:szCs w:val="19"/>
        </w:rPr>
        <w:t xml:space="preserve">hemodynamic_component = hemodynamic_raw × 25</w:t>
      </w:r>
    </w:p>
    <w:p>
      <w:pPr>
        <w:pStyle w:val="Heading2"/>
        <w:spacing w:after="160" w:before="280"/>
      </w:pPr>
      <w:r>
        <w:rPr>
          <w:rFonts w:ascii="Arial" w:cs="Arial" w:eastAsia="Arial" w:hAnsi="Arial"/>
          <w:b/>
          <w:bCs/>
          <w:color w:val="2E75B6"/>
          <w:sz w:val="28"/>
          <w:szCs w:val="28"/>
        </w:rPr>
        <w:t xml:space="preserve">3.3 Renal Component Inputs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5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(1.0)</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Good (0.8)</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 (0.5)</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Poor (0.2)</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Severe (0.0)</w:t>
            </w:r>
          </w:p>
        </w:tc>
        <w:tc>
          <w:tcPr>
            <w:tcW w:type="dxa" w:w="5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(mL/min/1.73m²)</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(CKD G1)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60–89 (G2)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45–59 (G3a)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30–44 (G3b)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&lt;30 (G4–G5)</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KDIGO staging.</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UACR (mg/g)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&lt;30 (A1)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30–99 (low A2)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100–299 (high A2)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300–999 (A3)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≥1000 (severe A3)</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KDIGO albuminuria staging. Drives finerenone indication.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slope (mL/min/yr)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 −1.0 (stable)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to −3.0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to −5.0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to −8.0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 −8.0 (rapid decline)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Requires ≥3 eGFR values over ≥12 months. Null if insufficient data → maps to 0.6 (assume mild decline). Threshold from clinicalParams.egfr_rapid_decline_per_yr.</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Potassium (mEq/L)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3.5–4.5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4.5–5.0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5.0–5.3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5.3–5.5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&gt;5.5 or &lt;3.0</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Safety metric for RASi + finerenone patients. Hyperkalemia is the primary finerenone risk.</w:t>
            </w:r>
          </w:p>
        </w:tc>
      </w:tr>
    </w:tbl>
    <w:p>
      <w:pPr>
        <w:pStyle w:val="Heading3"/>
        <w:spacing w:after="120" w:before="200"/>
      </w:pPr>
      <w:r>
        <w:rPr>
          <w:rFonts w:ascii="Arial" w:cs="Arial" w:eastAsia="Arial" w:hAnsi="Arial"/>
          <w:b/>
          <w:bCs/>
          <w:color w:val="404040"/>
          <w:sz w:val="24"/>
          <w:szCs w:val="24"/>
        </w:rPr>
        <w:t xml:space="preserve">Renal Sub-Score Computation</w:t>
      </w:r>
    </w:p>
    <w:p>
      <w:pPr>
        <w:spacing w:after="80"/>
        <w:ind w:left="360"/>
      </w:pPr>
      <w:r>
        <w:rPr>
          <w:rFonts w:ascii="Arial" w:cs="Arial" w:eastAsia="Arial" w:hAnsi="Arial"/>
          <w:sz w:val="19"/>
          <w:szCs w:val="19"/>
        </w:rPr>
        <w:t xml:space="preserve">renal_raw = 0.30 × norm(eGFR) + 0.25 × norm(UACR) + 0.30 × norm(eGFR_slope) + 0.15 × norm(K+)</w:t>
      </w:r>
    </w:p>
    <w:p>
      <w:pPr>
        <w:spacing w:after="80"/>
        <w:ind w:left="360"/>
      </w:pPr>
      <w:r>
        <w:rPr>
          <w:rFonts w:ascii="Arial" w:cs="Arial" w:eastAsia="Arial" w:hAnsi="Arial"/>
          <w:sz w:val="19"/>
          <w:szCs w:val="19"/>
        </w:rPr>
        <w:t xml:space="preserve">renal_component = renal_raw × 20</w:t>
      </w:r>
    </w:p>
    <w:p>
      <w:pPr>
        <w:pStyle w:val="Heading2"/>
        <w:spacing w:after="160" w:before="280"/>
      </w:pPr>
      <w:r>
        <w:rPr>
          <w:rFonts w:ascii="Arial" w:cs="Arial" w:eastAsia="Arial" w:hAnsi="Arial"/>
          <w:b/>
          <w:bCs/>
          <w:color w:val="2E75B6"/>
          <w:sz w:val="28"/>
          <w:szCs w:val="28"/>
        </w:rPr>
        <w:t xml:space="preserve">3.4 Metabolic Component Inputs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200"/>
        <w:gridCol w:w="1200"/>
        <w:gridCol w:w="56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(1.0)</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Good (0.8)</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 (0.5)</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Poor (0.2)</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Severe (0.0)</w:t>
            </w:r>
          </w:p>
        </w:tc>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 (kg/m²)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18.5–bmi_overweight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bmi_overweight–bmi_obese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bmi_obese–(bmi_obese+5)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(bmi_obese+5)–(bmi_obese+10)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&gt;(bmi_obese+10) or &lt;17</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Thresholds from clinicalParams (market shim). India: 23/25. Australia: 25/30.</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 trajectory 30d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Losing 0.5–1.0 kg/wk (if overweight) or stable (if normal weight)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Losing &lt;0.5 kg/wk or stable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 (no change)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Gaining 0.5–1.0 kg/wk</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Gaining &gt;1.0 kg/wk</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Direction-dependent: weight loss is only ‘Optimal’ if BMI is above target. For normal-weight patients, stable is optimal.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LDL (mg/dL)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&lt;70 (if ASCVD) or &lt;100 (primary prevention)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70–100 / 100–130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100–130 / 130–160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130–160 / 160–190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&gt;160 / &gt;190</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depends on ASCVD status (from KB-20 comorbidity flags).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Triglyceride/HDL ratio</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&lt;2.0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2.0–3.0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3.0–4.5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4.5–6.0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&gt;6.0</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Proxy for insulin resistance. More predictive than TG or HDL alone in South Asian populations.</w:t>
            </w:r>
          </w:p>
        </w:tc>
      </w:tr>
    </w:tbl>
    <w:p>
      <w:pPr>
        <w:spacing w:after="80"/>
        <w:ind w:left="360"/>
      </w:pPr>
      <w:r>
        <w:rPr>
          <w:rFonts w:ascii="Arial" w:cs="Arial" w:eastAsia="Arial" w:hAnsi="Arial"/>
          <w:sz w:val="19"/>
          <w:szCs w:val="19"/>
        </w:rPr>
        <w:t xml:space="preserve">metabolic_raw = 0.30 × norm(BMI) + 0.25 × norm(weight_trajectory) + 0.25 × norm(LDL) + 0.20 × norm(TG_HDL_ratio)</w:t>
      </w:r>
    </w:p>
    <w:p>
      <w:pPr>
        <w:spacing w:after="80"/>
        <w:ind w:left="360"/>
      </w:pPr>
      <w:r>
        <w:rPr>
          <w:rFonts w:ascii="Arial" w:cs="Arial" w:eastAsia="Arial" w:hAnsi="Arial"/>
          <w:sz w:val="19"/>
          <w:szCs w:val="19"/>
        </w:rPr>
        <w:t xml:space="preserve">metabolic_component = metabolic_raw × 15</w:t>
      </w:r>
    </w:p>
    <w:p>
      <w:pPr>
        <w:pStyle w:val="Heading2"/>
        <w:spacing w:after="160" w:before="280"/>
      </w:pPr>
      <w:r>
        <w:rPr>
          <w:rFonts w:ascii="Arial" w:cs="Arial" w:eastAsia="Arial" w:hAnsi="Arial"/>
          <w:b/>
          <w:bCs/>
          <w:color w:val="2E75B6"/>
          <w:sz w:val="28"/>
          <w:szCs w:val="28"/>
        </w:rPr>
        <w:t xml:space="preserve">3.5 Engagement Component Inputs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5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Optimal (1.0)</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Good (0.8)</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Moderate (0.5)</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Poor (0.2)</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Severe (0.0)</w:t>
            </w:r>
          </w:p>
        </w:tc>
        <w:tc>
          <w:tcPr>
            <w:tcW w:type="dxa" w:w="5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data density (14d)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&lt;25%</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days_with_glucose_reading / 14. Tier 1 (CGM) expected 100%. Tier 3 expected ~30% (every other day).</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data density (14d)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70–90%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50–70%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25–50%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&lt;25%</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days_with_bp_reading / 14. Twice-daily cuff expected ~100%.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 logging compliance (7d)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&lt;10%</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meals_logged / expected_meals. Tier 1: 3/day expected. Tier 3: 1/day expected.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 reminder response (14d)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≥90%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75–90%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50–75%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25–50%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&lt;25%</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reminder_acks / reminders_sent. Null if no reminders configured → maps to 0.7 (default moderate).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session recency (days since last)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3–7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7–14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&gt;14 days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interaction: opening app, logging reading, responding to prompt.</w:t>
            </w:r>
          </w:p>
        </w:tc>
      </w:tr>
    </w:tbl>
    <w:p>
      <w:pPr>
        <w:spacing w:after="80"/>
        <w:ind w:left="360"/>
      </w:pPr>
      <w:r>
        <w:rPr>
          <w:rFonts w:ascii="Arial" w:cs="Arial" w:eastAsia="Arial" w:hAnsi="Arial"/>
          <w:sz w:val="19"/>
          <w:szCs w:val="19"/>
        </w:rPr>
        <w:t xml:space="preserve">engagement_raw = 0.25 × norm(glucose_density) + 0.25 × norm(bp_density) + 0.20 × norm(meal_compliance) + 0.15 × norm(med_reminder_response) + 0.15 × norm(app_recency)</w:t>
      </w:r>
    </w:p>
    <w:p>
      <w:pPr>
        <w:spacing w:after="80"/>
        <w:ind w:left="360"/>
      </w:pPr>
      <w:r>
        <w:rPr>
          <w:rFonts w:ascii="Arial" w:cs="Arial" w:eastAsia="Arial" w:hAnsi="Arial"/>
          <w:sz w:val="19"/>
          <w:szCs w:val="19"/>
        </w:rPr>
        <w:t xml:space="preserve">engagement_component = engagement_raw × 15</w:t>
      </w:r>
    </w:p>
    <w:p>
      <w:r>
        <w:br w:type="page"/>
      </w:r>
    </w:p>
    <w:p>
      <w:pPr>
        <w:pStyle w:val="Heading1"/>
        <w:spacing w:after="200" w:before="360"/>
      </w:pPr>
      <w:r>
        <w:rPr>
          <w:rFonts w:ascii="Arial" w:cs="Arial" w:eastAsia="Arial" w:hAnsi="Arial"/>
          <w:b/>
          <w:bCs/>
          <w:color w:val="1B3A5C"/>
          <w:sz w:val="32"/>
          <w:szCs w:val="32"/>
        </w:rPr>
        <w:t xml:space="preserve">4. MHRI Trajectory Computation</w:t>
      </w:r>
    </w:p>
    <w:p>
      <w:pPr>
        <w:spacing w:after="120" w:line="276"/>
      </w:pPr>
      <w:r>
        <w:rPr>
          <w:rFonts w:ascii="Arial" w:cs="Arial" w:eastAsia="Arial" w:hAnsi="Arial"/>
          <w:sz w:val="20"/>
          <w:szCs w:val="20"/>
        </w:rPr>
        <w:t xml:space="preserve">The trajectory is the clinically actionable output. It classifies the 14-day trend of the MHRI composite score.</w:t>
      </w:r>
    </w:p>
    <w:p>
      <w:pPr>
        <w:pStyle w:val="Heading2"/>
        <w:spacing w:after="160" w:before="280"/>
      </w:pPr>
      <w:r>
        <w:rPr>
          <w:rFonts w:ascii="Arial" w:cs="Arial" w:eastAsia="Arial" w:hAnsi="Arial"/>
          <w:b/>
          <w:bCs/>
          <w:color w:val="2E75B6"/>
          <w:sz w:val="28"/>
          <w:szCs w:val="28"/>
        </w:rPr>
        <w:t xml:space="preserve">4.1 Algorithm</w:t>
      </w:r>
    </w:p>
    <w:p>
      <w:pPr>
        <w:spacing w:after="80"/>
        <w:ind w:left="360"/>
      </w:pPr>
      <w:r>
        <w:rPr>
          <w:rFonts w:ascii="Arial" w:cs="Arial" w:eastAsia="Arial" w:hAnsi="Arial"/>
          <w:sz w:val="19"/>
          <w:szCs w:val="19"/>
        </w:rPr>
        <w:t xml:space="preserve">Step 1: Maintain a rolling 14-day buffer of daily MHRI values. Each day’s MHRI is recomputed when any input changes (new glucose reading, new BP reading, new lab result, engagement score update). Store the recomputed value in mhri_daily_history[date].</w:t>
      </w:r>
    </w:p>
    <w:p>
      <w:pPr>
        <w:spacing w:after="80"/>
        <w:ind w:left="360"/>
      </w:pPr>
      <w:r>
        <w:rPr>
          <w:rFonts w:ascii="Arial" w:cs="Arial" w:eastAsia="Arial" w:hAnsi="Arial"/>
          <w:sz w:val="19"/>
          <w:szCs w:val="19"/>
        </w:rPr>
        <w:t xml:space="preserve">Step 2: At each recomputation, compute the trajectory using linear regression over the 14-day buffer: slope = β from OLS regression of mhri_daily_history[day_index] ~ day_index.</w:t>
      </w:r>
    </w:p>
    <w:p>
      <w:pPr>
        <w:spacing w:after="80"/>
        <w:ind w:left="360"/>
      </w:pPr>
      <w:r>
        <w:rPr>
          <w:rFonts w:ascii="Arial" w:cs="Arial" w:eastAsia="Arial" w:hAnsi="Arial"/>
          <w:sz w:val="19"/>
          <w:szCs w:val="19"/>
        </w:rPr>
        <w:t xml:space="preserve">Step 3: Classify trajectory: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200"/>
        <w:gridCol w:w="5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Slope (β per day)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Trajectory Classification</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Meaning</w:t>
            </w:r>
          </w:p>
        </w:tc>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Correction Loop 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β &gt; +0.3 (/day, equivalent to +4.2 points/14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is getting measurably healthier across domains. Current therapy is working.</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Lower urgency for new interventions. Continue monitoring. Celebrate progress with patient.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β between −0.3 and +0.3</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significant change in overall health status.</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Standard 14-day correction cycle continues. No urgency modification.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β between −0.7 and −0.3 (/day, equivalent to −4.2 to −10 points/14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DECLINING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is getting worse. Current therapy may be insufficient.</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Urgency +10 modifier on all Decision Cards. CDI evaluation triggered.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β &lt; −0.7 (/day, equivalent to &gt;10 points decline in 14 days)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RAPID_DECLINE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Significant multi-domain deterioration. May indicate: non-adherence, intercurrent illness, drug adverse effect, or disease progression.</w:t>
            </w:r>
          </w:p>
        </w:tc>
        <w:tc>
          <w:tcPr>
            <w:tcW w:type="dxa" w:w="5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Urgency +20 modifier. Immediate physician attention. If CDI &gt;15: CKM_CRISIS_ALERT fires.</w:t>
            </w:r>
          </w:p>
        </w:tc>
      </w:tr>
    </w:tbl>
    <w:p>
      <w:pPr>
        <w:pStyle w:val="Heading2"/>
        <w:spacing w:after="160" w:before="280"/>
      </w:pPr>
      <w:r>
        <w:rPr>
          <w:rFonts w:ascii="Arial" w:cs="Arial" w:eastAsia="Arial" w:hAnsi="Arial"/>
          <w:b/>
          <w:bCs/>
          <w:color w:val="2E75B6"/>
          <w:sz w:val="28"/>
          <w:szCs w:val="28"/>
        </w:rPr>
        <w:t xml:space="preserve">4.2 Component-Level Trajectories</w:t>
      </w:r>
    </w:p>
    <w:p>
      <w:pPr>
        <w:spacing w:after="120" w:line="276"/>
      </w:pPr>
      <w:r>
        <w:rPr>
          <w:rFonts w:ascii="Arial" w:cs="Arial" w:eastAsia="Arial" w:hAnsi="Arial"/>
          <w:sz w:val="20"/>
          <w:szCs w:val="20"/>
        </w:rPr>
        <w:t xml:space="preserve">The composite trajectory may mask domain-specific changes. A patient improving in glucose but deteriorating in BP produces a STABLE composite — but the underlying dynamics are clinically important. Therefore, the system computes and stores per-component trajectories.</w:t>
      </w:r>
    </w:p>
    <w:p>
      <w:pPr>
        <w:spacing w:after="80"/>
        <w:ind w:left="360"/>
      </w:pPr>
      <w:r>
        <w:rPr>
          <w:rFonts w:ascii="Arial" w:cs="Arial" w:eastAsia="Arial" w:hAnsi="Arial"/>
          <w:sz w:val="19"/>
          <w:szCs w:val="19"/>
        </w:rPr>
        <w:t xml:space="preserve">For each component (glycemic, hemodynamic, renal, metabolic, engagement): compute the same OLS regression on the 14-day component sub-score buffer. Store as mhri_glycemic_trajectory, mhri_hemodynamic_trajectory, etc.</w:t>
      </w:r>
    </w:p>
    <w:p>
      <w:pPr>
        <w:spacing w:after="80"/>
        <w:ind w:left="360"/>
      </w:pPr>
      <w:r>
        <w:rPr>
          <w:rFonts w:ascii="Arial" w:cs="Arial" w:eastAsia="Arial" w:hAnsi="Arial"/>
          <w:sz w:val="19"/>
          <w:szCs w:val="19"/>
        </w:rPr>
        <w:t xml:space="preserve">These component trajectories feed the CDI (Cross-Domain Deterioration Index): CDI detects when one domain is declining rapidly even if the composite is stable. CDI fires when ≥2 components are simultaneously DECLINING.</w:t>
      </w:r>
    </w:p>
    <w:p>
      <w:pPr>
        <w:pBdr>
          <w:left w:val="single" w:color="2E75B6" w:sz="6" w:space="8"/>
        </w:pBdr>
        <w:spacing w:after="120"/>
        <w:ind w:left="240"/>
      </w:pPr>
      <w:r>
        <w:rPr>
          <w:rFonts w:ascii="Arial" w:cs="Arial" w:eastAsia="Arial" w:hAnsi="Arial"/>
          <w:i/>
          <w:iCs/>
          <w:color w:val="555555"/>
          <w:sz w:val="20"/>
          <w:szCs w:val="20"/>
        </w:rPr>
        <w:t xml:space="preserve">The component trajectories are NOT shown in the physician dashboard by default (information overload). They are available on tap/expand. The dashboard shows: MHRI composite score + trajectory arrow + 4 component sparklines. The sparklines provide at-a-glance domain health without numbers.</w:t>
      </w:r>
    </w:p>
    <w:p>
      <w:r>
        <w:br w:type="page"/>
      </w:r>
    </w:p>
    <w:p>
      <w:pPr>
        <w:pStyle w:val="Heading1"/>
        <w:spacing w:after="200" w:before="360"/>
      </w:pPr>
      <w:r>
        <w:rPr>
          <w:rFonts w:ascii="Arial" w:cs="Arial" w:eastAsia="Arial" w:hAnsi="Arial"/>
          <w:b/>
          <w:bCs/>
          <w:color w:val="1B3A5C"/>
          <w:sz w:val="32"/>
          <w:szCs w:val="32"/>
        </w:rPr>
        <w:t xml:space="preserve">5. Missing Data and Data-Tier Handling</w:t>
      </w:r>
    </w:p>
    <w:p>
      <w:pPr>
        <w:spacing w:after="120" w:line="276"/>
      </w:pPr>
      <w:r>
        <w:rPr>
          <w:rFonts w:ascii="Arial" w:cs="Arial" w:eastAsia="Arial" w:hAnsi="Arial"/>
          <w:sz w:val="20"/>
          <w:szCs w:val="20"/>
        </w:rPr>
        <w:t xml:space="preserve">The MHRI must produce a valid score for every patient, including Tier 3 patients with sparse data. The system handles missing data through three mechanisms: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200"/>
        <w:gridCol w:w="3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It Applies</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 on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mapping for null inputs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 input variable has never been measured or has expired (e.g., HbA1c older than 180 days)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to a ‘neutral’ normalized value: 0.5 for clinical inputs (assume moderate risk), 0.7 for engagement inputs with no configured signals. Never penalise to 0.0 for data absence.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is CONSERVATIVE but not alarming. A patient with no data does not appear as ‘Severe’ — they appear as ‘Unknown, moderate risk assumed.’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Tier-aware weight redistribution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CGM-only inputs (TIR, glucose CV) are unavailable for Tier 2 SMBG days and Tier 3 patients</w:t>
            </w:r>
          </w:p>
        </w:tc>
        <w:tc>
          <w:tcPr>
            <w:tcW w:type="dxa" w:w="5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Weights of unavailable inputs are redistributed proportionally to available inputs within the same component. E.g., glycemic component for Tier 3: HbA1c and FBG absorb the weights of TIR and CV.</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0–25 range regardless of tier. Score comparability across tiers is 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completeness 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Always computed alongside MHRI</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mhri_data_quality = weighted average of input availability: 1.0 if all inputs are fresh (&lt;30 days for labs, &lt;7 days for vitals/engagement), 0.5 if inputs are stale, 0.0 if absent. Displayed alongside MHRI as a confidence badge.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and system see both: ‘MHRI 62 (data quality: 0.85 = HIGH)’ vs ‘MHRI 55 (data quality: 0.45 = LOW — schedule labs).’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Data-driven prompting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mhri_data_quality &lt; 0.6</w:t>
            </w:r>
          </w:p>
        </w:tc>
        <w:tc>
          <w:tcPr>
            <w:tcW w:type="dxa" w:w="5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Engagement Monitor generates a targeted data collection prompt: ‘Your patient’s MHRI accuracy is limited because [HbA1c is 8 months old / no BP readings in 12 days]. Request updated labs or prompt patient for readings.’</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Proactive improvement of data quality rather than passive score degradation.</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A patient’s MHRI is NEVER zero due to missing data. Zero means ‘every clinical input is severely abnormal.’ A patient with NO data should produce MHRI ≈ 50 (‘unknown, moderate risk’) with mhri_data_quality = LOW. The score is a health assessment, not a data completeness penalty.</w:t>
      </w:r>
    </w:p>
    <w:p>
      <w:r>
        <w:br w:type="page"/>
      </w:r>
    </w:p>
    <w:p>
      <w:pPr>
        <w:pStyle w:val="Heading1"/>
        <w:spacing w:after="200" w:before="360"/>
      </w:pPr>
      <w:r>
        <w:rPr>
          <w:rFonts w:ascii="Arial" w:cs="Arial" w:eastAsia="Arial" w:hAnsi="Arial"/>
          <w:b/>
          <w:bCs/>
          <w:color w:val="1B3A5C"/>
          <w:sz w:val="32"/>
          <w:szCs w:val="32"/>
        </w:rPr>
        <w:t xml:space="preserve">6. Alignment with AHA CKM Staging</w:t>
      </w:r>
    </w:p>
    <w:p>
      <w:pPr>
        <w:spacing w:after="120" w:line="276"/>
      </w:pPr>
      <w:r>
        <w:rPr>
          <w:rFonts w:ascii="Arial" w:cs="Arial" w:eastAsia="Arial" w:hAnsi="Arial"/>
          <w:sz w:val="20"/>
          <w:szCs w:val="20"/>
        </w:rPr>
        <w:t xml:space="preserve">The AHA 2023 Presidential Advisory defined a 5-stage Cardiovascular-Kidney-Metabolic (CKM) health framework (Stages 0–4). MHRI should correlate with CKM staging but is NOT a replacement for it. The CKM stage is a categorical classification; MHRI is a continuous score within each stage. The value of MHRI is tracking movement WITHIN a CKM stage and detecting impending stage transitions.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2600"/>
        <w:gridCol w:w="62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CKM Stage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MHRI Range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MHRI Trajectory Signal</w:t>
            </w:r>
          </w:p>
        </w:tc>
        <w:tc>
          <w:tcPr>
            <w:tcW w:type="dxa" w:w="6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Stage 0: No risk factors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BMI, no metabolic risk factors, no CKD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85–100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STABLE or IMPROVING</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Maintenance. Vaidshala patients rarely start at Stage 0 (they enroll because they have risk factors).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Stage 1: Excess adiposity or prediabetes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Elevated BMI (≥23 South Asian / ≥25 general), prediabetes, or elevated waist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70–85</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 → watch for DECLINING (transition to Stage 2)</w:t>
            </w:r>
          </w:p>
        </w:tc>
        <w:tc>
          <w:tcPr>
            <w:tcW w:type="dxa" w:w="6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 interventions. Meal-response tracking to prevent progression.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Stage 2: Metabolic risk factors or moderate CKD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T2DM, hypertension, CKD stage 3, hypertriglyceridemia, metabolic syndrome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45–70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is where most Vaidshala patients live. MHRI trajectory HERE determines outcomes.</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correction loop active. Four-pillar assessment. Decision Cards. IOR tracking. This is the high-value intervention zone.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Stage 3: Subclinical CVD or high-risk CKD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Subclinical atherosclerosis, CKD G4-5, PREVENT risk &gt;20%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25–45</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DECLINING trajectories here are urgent. Stage 3 → Stage 4 transition is the event we must prevent.</w:t>
            </w:r>
          </w:p>
        </w:tc>
        <w:tc>
          <w:tcPr>
            <w:tcW w:type="dxa" w:w="6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Intensified four-pillar therapy. Specialist referral. SGLT2i + finerenone + GLP-1RA if tolerated.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Stage 4: Clinical CVD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 stroke, HF hospitalisation, dialysis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RAPID_DECLINE is common after events. IMPROVING trajectory post-event is the rehabilitation signal.</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Post-event secondary prevention. Maximum medical therapy. Rehabilitation protocols.</w:t>
            </w:r>
          </w:p>
        </w:tc>
      </w:tr>
    </w:tbl>
    <w:p>
      <w:pPr>
        <w:pBdr>
          <w:left w:val="single" w:color="2E75B6" w:sz="6" w:space="8"/>
        </w:pBdr>
        <w:spacing w:after="120"/>
        <w:ind w:left="240"/>
      </w:pPr>
      <w:r>
        <w:rPr>
          <w:rFonts w:ascii="Arial" w:cs="Arial" w:eastAsia="Arial" w:hAnsi="Arial"/>
          <w:i/>
          <w:iCs/>
          <w:color w:val="555555"/>
          <w:sz w:val="20"/>
          <w:szCs w:val="20"/>
        </w:rPr>
        <w:t xml:space="preserve">CKM stage is stored as a separate field in KB-20 (ckm_stage: 0–4) alongside MHRI. The MHRI provides granularity WITHIN the stage. Two patients at CKM Stage 2 might have MHRI 68 (well-managed, improving) vs MHRI 48 (poorly managed, declining) — same stage, very different clinical urgency.</w:t>
      </w:r>
    </w:p>
    <w:p>
      <w:r>
        <w:br w:type="page"/>
      </w:r>
    </w:p>
    <w:p>
      <w:pPr>
        <w:pStyle w:val="Heading1"/>
        <w:spacing w:after="200" w:before="360"/>
      </w:pPr>
      <w:r>
        <w:rPr>
          <w:rFonts w:ascii="Arial" w:cs="Arial" w:eastAsia="Arial" w:hAnsi="Arial"/>
          <w:b/>
          <w:bCs/>
          <w:color w:val="1B3A5C"/>
          <w:sz w:val="32"/>
          <w:szCs w:val="32"/>
        </w:rPr>
        <w:t xml:space="preserve">7. Calibration Against Clinical Outcomes</w:t>
      </w:r>
    </w:p>
    <w:p>
      <w:pPr>
        <w:spacing w:after="120" w:line="276"/>
      </w:pPr>
      <w:r>
        <w:rPr>
          <w:rFonts w:ascii="Arial" w:cs="Arial" w:eastAsia="Arial" w:hAnsi="Arial"/>
          <w:sz w:val="20"/>
          <w:szCs w:val="20"/>
        </w:rPr>
        <w:t xml:space="preserve">The normalization breakpoints and component weights in Sections 2–3 are derived from published guidelines (ADA 2026, KDIGO 2024, J-HOP, ESC 2024). But these are INITIAL weights. The system must validate and calibrate MHRI against real outcomes in the Vaidshala population.</w:t>
      </w:r>
    </w:p>
    <w:p>
      <w:pPr>
        <w:pStyle w:val="Heading2"/>
        <w:spacing w:after="160" w:before="280"/>
      </w:pPr>
      <w:r>
        <w:rPr>
          <w:rFonts w:ascii="Arial" w:cs="Arial" w:eastAsia="Arial" w:hAnsi="Arial"/>
          <w:b/>
          <w:bCs/>
          <w:color w:val="2E75B6"/>
          <w:sz w:val="28"/>
          <w:szCs w:val="28"/>
        </w:rPr>
        <w:t xml:space="preserve">7.1 Calibration Methodology</w:t>
      </w:r>
    </w:p>
    <w:p>
      <w:pPr>
        <w:spacing w:after="80"/>
        <w:ind w:left="360"/>
      </w:pPr>
      <w:r>
        <w:rPr>
          <w:rFonts w:ascii="Arial" w:cs="Arial" w:eastAsia="Arial" w:hAnsi="Arial"/>
          <w:sz w:val="19"/>
          <w:szCs w:val="19"/>
        </w:rPr>
        <w:t xml:space="preserve">Phase 1 (Months 0–6): Deploy with guideline-derived weights. Accumulate MHRI time series alongside clinical events (hospitalisation, eGFR decline &gt;30%, HbA1c progression, CV events if available, loss-to-follow-up).</w:t>
      </w:r>
    </w:p>
    <w:p>
      <w:pPr>
        <w:spacing w:after="80"/>
        <w:ind w:left="360"/>
      </w:pPr>
      <w:r>
        <w:rPr>
          <w:rFonts w:ascii="Arial" w:cs="Arial" w:eastAsia="Arial" w:hAnsi="Arial"/>
          <w:sz w:val="19"/>
          <w:szCs w:val="19"/>
        </w:rPr>
        <w:t xml:space="preserve">Phase 2 (Month 6): Retrospective analysis. For each outcome event, examine: what was the patient’s MHRI trajectory in the 90 days before the event? Was MHRI declining? Was a specific component declining?</w:t>
      </w:r>
    </w:p>
    <w:p>
      <w:pPr>
        <w:spacing w:after="80"/>
        <w:ind w:left="360"/>
      </w:pPr>
      <w:r>
        <w:rPr>
          <w:rFonts w:ascii="Arial" w:cs="Arial" w:eastAsia="Arial" w:hAnsi="Arial"/>
          <w:sz w:val="19"/>
          <w:szCs w:val="19"/>
        </w:rPr>
        <w:t xml:space="preserve">Phase 3 (Month 9): C-statistic analysis. Compute the area under the ROC curve for MHRI trajectory predicting: (a) hospitalisation within 90 days, (b) eGFR decline &gt;5 mL/min/yr, (c) HbA1c increase &gt;1% over 6 months, (d) loss-to-follow-up. Target: C-statistic ≥0.70 for at least 2 of these 4 outcomes.</w:t>
      </w:r>
    </w:p>
    <w:p>
      <w:pPr>
        <w:spacing w:after="80"/>
        <w:ind w:left="360"/>
      </w:pPr>
      <w:r>
        <w:rPr>
          <w:rFonts w:ascii="Arial" w:cs="Arial" w:eastAsia="Arial" w:hAnsi="Arial"/>
          <w:sz w:val="19"/>
          <w:szCs w:val="19"/>
        </w:rPr>
        <w:t xml:space="preserve">Phase 4 (Month 12): Weight optimisation. If C-statistic &lt;0.70 for key outcomes: adjust component weights and normalization breakpoints using logistic regression with the outcome as the dependent variable and the five component sub-scores as independent variables. The regression coefficients become the calibrated weights.</w:t>
      </w:r>
    </w:p>
    <w:p>
      <w:pPr>
        <w:spacing w:after="80"/>
        <w:ind w:left="360"/>
      </w:pPr>
      <w:r>
        <w:rPr>
          <w:rFonts w:ascii="Arial" w:cs="Arial" w:eastAsia="Arial" w:hAnsi="Arial"/>
          <w:sz w:val="19"/>
          <w:szCs w:val="19"/>
        </w:rPr>
        <w:t xml:space="preserve">Phase 5 (Ongoing): Re-calibrate annually or when population composition shifts significantly (≥20% change in mean BMI, eGFR distribution, or medication profile of the enrolled population).</w:t>
      </w:r>
    </w:p>
    <w:p>
      <w:pPr>
        <w:pStyle w:val="Heading2"/>
        <w:spacing w:after="160" w:before="280"/>
      </w:pPr>
      <w:r>
        <w:rPr>
          <w:rFonts w:ascii="Arial" w:cs="Arial" w:eastAsia="Arial" w:hAnsi="Arial"/>
          <w:b/>
          <w:bCs/>
          <w:color w:val="2E75B6"/>
          <w:sz w:val="28"/>
          <w:szCs w:val="28"/>
        </w:rPr>
        <w:t xml:space="preserve">7.2 Population-Specific Calibration</w:t>
      </w:r>
    </w:p>
    <w:p>
      <w:pPr>
        <w:spacing w:after="120" w:line="276"/>
      </w:pPr>
      <w:r>
        <w:rPr>
          <w:rFonts w:ascii="Arial" w:cs="Arial" w:eastAsia="Arial" w:hAnsi="Arial"/>
          <w:sz w:val="20"/>
          <w:szCs w:val="20"/>
        </w:rPr>
        <w:t xml:space="preserve">The MHRI weights may differ between populations. South Asian patients have higher cardiometabolic risk at lower BMI (BMI 23 carries the risk that BMI 30 carries in Europeans). This is already handled by the market shim’s BMI thresholds in the normalization function. But the COMPONENT WEIGHTS themselves might need population-specific calibration if outcomes data shows that, for example, the renal component is a stronger predictor of hospitalisation in the Indian population (where CKD is underdiagnosed and undertreated) than in the Australian population.</w:t>
      </w:r>
    </w:p>
    <w:p>
      <w:pPr>
        <w:pBdr>
          <w:left w:val="single" w:color="2E75B6" w:sz="6" w:space="8"/>
        </w:pBdr>
        <w:spacing w:after="120"/>
        <w:ind w:left="240"/>
      </w:pPr>
      <w:r>
        <w:rPr>
          <w:rFonts w:ascii="Arial" w:cs="Arial" w:eastAsia="Arial" w:hAnsi="Arial"/>
          <w:i/>
          <w:iCs/>
          <w:color w:val="555555"/>
          <w:sz w:val="20"/>
          <w:szCs w:val="20"/>
        </w:rPr>
        <w:t xml:space="preserve">INITIAL DEPLOYMENT: Same weights across all markets. The guideline-derived weights (25/25/20/15/15) are clinically reasonable everywhere. Population-specific weight calibration is a Phase 4 activity requiring ≥10,000 patients × 12 months of longitudinal data per market with sufficient outcome events.</w:t>
      </w:r>
    </w:p>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Component weights are stored in clinicalParams.mhri_weights: { glycemic: 25, hemodynamic: 25, renal: 20, metabolic: 15, engagement: 15 }. This is a market shim parameter. Initially identical across markets. Can be overridden per-market after population-specific calibration (Phase 4).</w:t>
      </w:r>
    </w:p>
    <w:p>
      <w:r>
        <w:br w:type="page"/>
      </w:r>
    </w:p>
    <w:p>
      <w:pPr>
        <w:pStyle w:val="Heading1"/>
        <w:spacing w:after="200" w:before="360"/>
      </w:pPr>
      <w:r>
        <w:rPr>
          <w:rFonts w:ascii="Arial" w:cs="Arial" w:eastAsia="Arial" w:hAnsi="Arial"/>
          <w:b/>
          <w:bCs/>
          <w:color w:val="1B3A5C"/>
          <w:sz w:val="32"/>
          <w:szCs w:val="32"/>
        </w:rPr>
        <w:t xml:space="preserve">8. MHRI Output Schema (stored in KB-20, computed by KB-26)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2200"/>
        <w:gridCol w:w="70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7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mhri_composite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each input change (any reading, lab, engagement update)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dashboard (headline number), Decision Card urgency, IOR patient state snapshot, population health stratification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mhri_glycemic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0–25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 glucose reading or HbA1c arrival</w:t>
            </w:r>
          </w:p>
        </w:tc>
        <w:tc>
          <w:tcPr>
            <w:tcW w:type="dxa" w:w="7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Glycemic component sparkline, CDI glycemic 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mhri_hemodynamic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BP reading</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Hemodynamic sparkline, CDI hemodynamic domain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mhri_renal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0–20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 lab result (eGFR, UACR, K+)</w:t>
            </w:r>
          </w:p>
        </w:tc>
        <w:tc>
          <w:tcPr>
            <w:tcW w:type="dxa" w:w="7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Renal sparkline, CDI renal 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mhri_metabolic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weight measurement or lipid panel</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Metabolic sparkline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mhri_engagement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0–15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Daily (from Engagement Monitor)</w:t>
            </w:r>
          </w:p>
        </w:tc>
        <w:tc>
          <w:tcPr>
            <w:tcW w:type="dxa" w:w="7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 sparkline, engagement drop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mhri_trajectory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 / STABLE / DECLINING / RAPID_DECLINE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each MHRI recomputation (with ≥14 days of history)</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Correction loop urgency modifier (+10 DECLINING, +20 RAPID_DECLINE). Decision Card urgency.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mhri_trajectory_slope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β per day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w:t>
            </w:r>
          </w:p>
        </w:tc>
        <w:tc>
          <w:tcPr>
            <w:tcW w:type="dxa" w:w="7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Raw slope for analytics. Not shown to physician.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mhri_data_quality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 each recomputation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Confidence badge on dashboard. Data collection prompting when &lt;0.6.</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ckm_stage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 CKM-relevant state change (BMI, eGFR, UACR, CV event)</w:t>
            </w:r>
          </w:p>
        </w:tc>
        <w:tc>
          <w:tcPr>
            <w:tcW w:type="dxa" w:w="7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CKM staging badge on dashboard. Population-level CKM stage distribution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mhri_daily_history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Array[{date, value}]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entries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Rolling 14-day buffer</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Trajectory computation. Not exposed externally.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mhri_component_trajectories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Object {glycemic: Enum, hemodynamic: Enum, renal: Enum, metabolic: Enum, engagement: Enum}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 each recomputation with ≥14 days per component</w:t>
            </w:r>
          </w:p>
        </w:tc>
        <w:tc>
          <w:tcPr>
            <w:tcW w:type="dxa" w:w="7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CDI computation. Per-component trajectory analysis.</w:t>
            </w:r>
          </w:p>
        </w:tc>
      </w:tr>
    </w:tbl>
    <w:p>
      <w:r>
        <w:br w:type="page"/>
      </w:r>
    </w:p>
    <w:p>
      <w:pPr>
        <w:pStyle w:val="Heading1"/>
        <w:spacing w:after="200" w:before="360"/>
      </w:pPr>
      <w:r>
        <w:rPr>
          <w:rFonts w:ascii="Arial" w:cs="Arial" w:eastAsia="Arial" w:hAnsi="Arial"/>
          <w:b/>
          <w:bCs/>
          <w:color w:val="1B3A5C"/>
          <w:sz w:val="32"/>
          <w:szCs w:val="32"/>
        </w:rPr>
        <w:t xml:space="preserve">9.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Normalization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1–2</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Piecewise linear normalization functions for all 20 input variables. Unit tests for boundary cases (null inputs, out-of-range values, tier-aware weight redistribution). All breakpoints from clinical guidelines.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 pure computation, no external data needed.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Component computation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2–3</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Five component sub-score functions. Glycemic with tier-aware weighting. Hemodynamic with ARV/surge inputs from Deep Dive #1. Renal with eGFR slope (null handling for insufficient history). Metabolic with market-shim BMI thresholds. Engagement from Engagement Monitor.</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Deep Dive #1 (BP Variability Engine) deployed for hemodynamic inputs. Engagement Monitor deployed.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MHRI composite + trajectory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3–4</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 composite computation in KB-26 twin. 14-day rolling buffer. OLS trajectory regression. Trajectory classification. Per-component trajectories. Data quality scoring.</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KB-26 twin (V3, exists). KB-20 projection with all input fields populated.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Dashboard integration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4–5</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 headline number in physician dashboard Panel 1. Trajectory arrow (green up / grey horizontal / red down). Component sparklines. CKM stage badge. Data quality confidence indicator.</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dashboard MVP (V3 Workstream 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E: Correction loop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5–6</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 trajectory feeding Decision Card urgency modifiers (+10 DECLINING, +20 RAPID_DECLINE). CDI computation from per-component trajectories. IOR patient state snapshot includes MHRI composite + per-component scores.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 Card generator (Deep Dive #5). IOR generator (Deep Dive #4).</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F: Calibration infrastructure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 6+</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Retrospective calibration pipeline: MHRI time series + outcome events. C-statistic computation. Weight optimisation regression. Annual re-calibration workflow.</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≥10,000 patients × 6 months with outcome event capture.</w:t>
            </w:r>
          </w:p>
        </w:tc>
      </w:tr>
    </w:tbl>
    <w:p>
      <w:pPr>
        <w:spacing w:before="400"/>
      </w:pPr>
      <w:r>
        <w:rPr>
          <w:rFonts w:ascii="Arial" w:cs="Arial" w:eastAsia="Arial" w:hAnsi="Arial"/>
          <w:b/>
          <w:bCs/>
          <w:sz w:val="20"/>
          <w:szCs w:val="20"/>
        </w:rPr>
        <w:t xml:space="preserve">The MHRI is the one number that makes the complexity of cardiometabolic care comprehensible. </w:t>
      </w:r>
      <w:r>
        <w:rPr>
          <w:rFonts w:ascii="Arial" w:cs="Arial" w:eastAsia="Arial" w:hAnsi="Arial"/>
          <w:sz w:val="20"/>
          <w:szCs w:val="20"/>
        </w:rPr>
        <w:t xml:space="preserve">It compresses glycemia, blood pressure, renal function, metabolic health, and patient engagement into a single trajectory that a physician reads in one second and a correction loop evaluates in one millisecond. Its value is not precision — it’s direction. A declining MHRI tells you something is wrong before any single metric crosses a threshold. That early warning is the clinical advantage.</w:t>
      </w:r>
    </w:p>
    <w:p>
      <w:pPr>
        <w:spacing w:before="400"/>
      </w:pPr>
      <w:r>
        <w:rPr>
          <w:rFonts w:ascii="Arial" w:cs="Arial" w:eastAsia="Arial" w:hAnsi="Arial"/>
          <w:i/>
          <w:iCs/>
          <w:color w:val="888888"/>
          <w:sz w:val="20"/>
          <w:szCs w:val="20"/>
        </w:rPr>
        <w:t xml:space="preserve">End of Deep Dive #6: MHRI Score Computation</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#6: MHRI Score Computation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2026-03-26T04:40:34.182Z</dcterms:created>
  <dcterms:modified xsi:type="dcterms:W3CDTF">2026-03-26T04:40:34.183Z</dcterms:modified>
</cp:coreProperties>
</file>

<file path=docProps/custom.xml><?xml version="1.0" encoding="utf-8"?>
<Properties xmlns="http://schemas.openxmlformats.org/officeDocument/2006/custom-properties" xmlns:vt="http://schemas.openxmlformats.org/officeDocument/2006/docPropsVTypes"/>
</file>