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0"/>
          <w:szCs w:val="40"/>
        </w:rPr>
        <w:t xml:space="preserve">VAIDSHALA v4 — Deep Dive #7</w:t>
      </w:r>
    </w:p>
    <w:p>
      <w:pPr>
        <w:spacing w:after="200"/>
        <w:jc w:val="center"/>
      </w:pPr>
      <w:r>
        <w:rPr>
          <w:rFonts w:ascii="Arial" w:cs="Arial" w:eastAsia="Arial" w:hAnsi="Arial"/>
          <w:color w:val="2E75B6"/>
          <w:sz w:val="36"/>
          <w:szCs w:val="36"/>
        </w:rPr>
        <w:t xml:space="preserve">Comorbidity Interaction Detector</w:t>
      </w:r>
    </w:p>
    <w:p>
      <w:pPr>
        <w:spacing w:after="200"/>
        <w:jc w:val="center"/>
      </w:pPr>
      <w:r>
        <w:rPr>
          <w:rFonts w:ascii="Arial" w:cs="Arial" w:eastAsia="Arial" w:hAnsi="Arial"/>
          <w:color w:val="555555"/>
          <w:sz w:val="24"/>
          <w:szCs w:val="24"/>
        </w:rPr>
        <w:t xml:space="preserve">Cross-Domain Drug Interactions • Alert Severity Classification • Physician Notification Workflow</w:t>
      </w:r>
    </w:p>
    <w:p>
      <w:pPr>
        <w:spacing w:after="600"/>
        <w:jc w:val="center"/>
      </w:pPr>
      <w:r>
        <w:rPr>
          <w:rFonts w:ascii="Arial" w:cs="Arial" w:eastAsia="Arial" w:hAnsi="Arial"/>
          <w:sz w:val="20"/>
          <w:szCs w:val="20"/>
        </w:rPr>
        <w:t xml:space="preserve">March 2026  |  ENGINEERING CONFIDENTIAL</w:t>
      </w:r>
    </w:p>
    <w:p>
      <w:r>
        <w:br w:type="page"/>
      </w:r>
    </w:p>
    <w:p>
      <w:pPr>
        <w:pStyle w:val="Heading1"/>
        <w:spacing w:after="200" w:before="360"/>
      </w:pPr>
      <w:r>
        <w:rPr>
          <w:rFonts w:ascii="Arial" w:cs="Arial" w:eastAsia="Arial" w:hAnsi="Arial"/>
          <w:b/>
          <w:bCs/>
          <w:color w:val="1B3A5C"/>
          <w:sz w:val="32"/>
          <w:szCs w:val="32"/>
        </w:rPr>
        <w:t xml:space="preserve">1. Why Single-Disease Safety Systems Miss Cross-Domain Danger</w:t>
      </w:r>
    </w:p>
    <w:p>
      <w:pPr>
        <w:spacing w:after="120" w:line="276"/>
      </w:pPr>
      <w:r>
        <w:rPr>
          <w:rFonts w:ascii="Arial" w:cs="Arial" w:eastAsia="Arial" w:hAnsi="Arial"/>
          <w:sz w:val="20"/>
          <w:szCs w:val="20"/>
        </w:rPr>
        <w:t xml:space="preserve">V3’s KB-24 safety engine evaluates drug-level adverse effects: ‘this patient is on metformin and eGFR is approaching 30 — dose-reduce or stop.’ That’s per-drug safety. But in cardiometabolic patients on 5–8 medications across two disease domains, the dangerous interactions are BETWEEN drugs from different domains, and between drug effects and physiological state changes that no single-drug safety rule catches.</w:t>
      </w:r>
    </w:p>
    <w:p>
      <w:pPr>
        <w:spacing w:after="120" w:line="276"/>
      </w:pPr>
      <w:r>
        <w:rPr>
          <w:rFonts w:ascii="Arial" w:cs="Arial" w:eastAsia="Arial" w:hAnsi="Arial"/>
          <w:sz w:val="20"/>
          <w:szCs w:val="20"/>
        </w:rPr>
        <w:t xml:space="preserve">A patient on empagliflozin (SGLT2i for glucose) + chlorthalidone (thiazide for BP) + ramipril (ACEi for renal protection) is on a perfectly guideline-appropriate regimen. But if they get a gastroenteritis episode and become dehydrated, this triple combination becomes an AKI risk. No individual drug safety rule flags this — it’s the COMBINATION + CONTEXT that’s dangerous. This is what the Comorbidity Interaction Detector catches.</w:t>
      </w:r>
    </w:p>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This Flink job is a PATTERN MATCHER, not a drug database. It detects COMBINATIONS of medication state + lab trajectory + vital sign patterns that create cross-domain risk. Each rule is deterministic, coded in the Flink CEP (Complex Event Processing) framework, and produces auditable alerts.</w:t>
      </w:r>
    </w:p>
    <w:p>
      <w:r>
        <w:br w:type="page"/>
      </w:r>
    </w:p>
    <w:p>
      <w:pPr>
        <w:pStyle w:val="Heading1"/>
        <w:spacing w:after="200" w:before="360"/>
      </w:pPr>
      <w:r>
        <w:rPr>
          <w:rFonts w:ascii="Arial" w:cs="Arial" w:eastAsia="Arial" w:hAnsi="Arial"/>
          <w:b/>
          <w:bCs/>
          <w:color w:val="1B3A5C"/>
          <w:sz w:val="32"/>
          <w:szCs w:val="32"/>
        </w:rPr>
        <w:t xml:space="preserve">2. Flink Job Architecture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000"/>
        <w:gridCol w:w="106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0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Job Name</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comorbidity-interaction-detector</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Flink Consumer Group</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cg-flink-comorbidity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Input Topics</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flink.cgm-daily-metrics, flink.bp-variability-metrics, ingestion.labs, clinical.medication-events, ingestion.patient-reported, flink.engagement-scores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Output Topic</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alerts.comorbidity-interactions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Side Output</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ingestion.safety-critical (for HALT-severity interactions that require immediate physician attention)</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Keying</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Backend</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RocksDB (maintains per-patient medication list + recent lab values + recent vital patterns)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Checkpoint Interval</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Parallelism</w:t>
            </w:r>
          </w:p>
        </w:tc>
        <w:tc>
          <w:tcPr>
            <w:tcW w:type="dxa" w:w="10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task slots (10K patients)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Pattern Matching</w:t>
            </w:r>
          </w:p>
        </w:tc>
        <w:tc>
          <w:tcPr>
            <w:tcW w:type="dxa" w:w="10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Flink CEP library for multi-event pattern detection within temporal windows</w:t>
            </w:r>
          </w:p>
        </w:tc>
      </w:tr>
    </w:tbl>
    <w:p>
      <w:r>
        <w:br w:type="page"/>
      </w:r>
    </w:p>
    <w:p>
      <w:pPr>
        <w:pStyle w:val="Heading1"/>
        <w:spacing w:after="200" w:before="360"/>
      </w:pPr>
      <w:r>
        <w:rPr>
          <w:rFonts w:ascii="Arial" w:cs="Arial" w:eastAsia="Arial" w:hAnsi="Arial"/>
          <w:b/>
          <w:bCs/>
          <w:color w:val="1B3A5C"/>
          <w:sz w:val="32"/>
          <w:szCs w:val="32"/>
        </w:rPr>
        <w:t xml:space="preserve">3. Complete Interaction Rule Set</w:t>
      </w:r>
    </w:p>
    <w:p>
      <w:pPr>
        <w:spacing w:after="120" w:line="276"/>
      </w:pPr>
      <w:r>
        <w:rPr>
          <w:rFonts w:ascii="Arial" w:cs="Arial" w:eastAsia="Arial" w:hAnsi="Arial"/>
          <w:sz w:val="20"/>
          <w:szCs w:val="20"/>
        </w:rPr>
        <w:t xml:space="preserve">Each rule specifies: the medication/lab/vital combination it watches, the triggering condition, the severity classification, the alert content, and the recommended physician action. Rules are evaluated continuously as new events arrive.</w:t>
      </w:r>
    </w:p>
    <w:p>
      <w:pPr>
        <w:pStyle w:val="Heading2"/>
        <w:spacing w:after="160" w:before="280"/>
      </w:pPr>
      <w:r>
        <w:rPr>
          <w:rFonts w:ascii="Arial" w:cs="Arial" w:eastAsia="Arial" w:hAnsi="Arial"/>
          <w:b/>
          <w:bCs/>
          <w:color w:val="2E75B6"/>
          <w:sz w:val="28"/>
          <w:szCs w:val="28"/>
        </w:rPr>
        <w:t xml:space="preserve">3.1 HALT-Severity Rules (Immediate Physician Notification)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800"/>
        <w:gridCol w:w="2800"/>
        <w:gridCol w:w="2800"/>
        <w:gridCol w:w="328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Danger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Content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CID-01</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Triple Whammy AKI</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Patient on (ACEi OR ARB) + (SGLT2i) + (thiazide OR loop diuretic) AND any of: (a) weight drop &gt;2kg in 7 days, (b) eGFR drop &gt;15% in 14 days, (c) patient reports illness/vomiting/diarrhea</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ACEi reduces efferent arteriolar tone + SGLT2i reduces tubuloglomerular feedback + diuretic reduces volume. Combined: severe drop in renal perfusion. Gastroenteritis or dehydration is the precipitant.</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HALT: Triple whammy AKI risk detected. Patient on [ACEi/ARB] + [SGLT2i] + [diuretic] with [precipitant]. Immediate renal function assessment needed.</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Pause SGLT2i and diuretic. Urgent eGFR + creatinine within 48 hours. If confirmed AKI: hold all three agents until renal function recovers. Issue sick-day rules education.</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CID-02</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Hyperkalemia Cascade</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Patient on (ACEi OR ARB at max dose) + (finerenone) AND K+ &gt;5.3 mEq/L (rising from previous value)</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ACEi/ARB reduces aldosterone-mediated K+ excretion. Finerenone blocks MR-mediated K+ excretion. Combined: dual pathway K+ retention. Risk amplified by CKD (reduced renal K+ clearance).</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HALT: Hyperkalemia cascade. K+ rising on [RASi] + [finerenone]. Current K+ [value]. Previous K+ [value] ([days] ago).</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Hold finerenone immediately. Recheck K+ in 48–72 hours. If K+ &gt;5.5: hold ACEi/ARB dose as well. Dietary potassium counselling. If K+ &gt;6.0: emergency protocol (calcium gluconate, insulin+glucose, admission).</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CID-03</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Hypoglycemia Masking</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Patient on (insulin OR sulfonylurea) + (beta-blocker) AND glucose &lt;60 mg/dL detected (CGM or SMBG) AND patient has NOT reported hypoglycemia symptoms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Beta-blockers mask adrenergic symptoms of hypoglycemia (tremor, palpitations, tachycardia). Patient may not feel the hypo until neuroglycopenic symptoms (confusion, seizure) appear. Severely dangerous.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HALT: Masked hypoglycemia. Glucose [value] mg/dL with no symptoms reported. Patient on [beta-blocker] which masks hypo symptoms. Severe hypo risk.</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Deprescribe sulfonylurea if present (DEPRESC-1 co-fires). If insulin is the cause: reduce basal insulin by 20%. Consider switching beta-blocker to vasodilatory beta-blocker (carvedilol) or non-BB alternative. Educate patient on neuroglycopenic symptoms.</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CID-04</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SGLT2i + DKA Context</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Patient on SGLT2i AND any of: (a) patient reports severe nausea/vomiting/abdominal pain, (b) patient reports ‘following keto/low-carb diet’, (c) insulin dose reduced by &gt;30% in last 14 days AND patient has T1DM-features or LADA</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Euglycemic DKA: SGLT2i increases ketone production. Normal glucose levels mask the ketosis. Triggers: carb restriction, volume depletion, acute illness, insulin dose reduction. Can progress rapidly to metabolic acidosis.</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HALT: Euglycemic DKA risk. Patient on [SGLT2i] with [trigger]. Glucose may be normal but ketoacidosis possible. CHECK BLOOD KETONES.</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Hold SGLT2i immediately. If symptoms present: emergency blood ketone or urine ketone testing. If ketones elevated: emergency department. If no symptoms but trigger present: hold SGLT2i for 48 hours, resume only after trigger resolves. Educate patient.</w:t>
            </w:r>
          </w:p>
        </w:tc>
      </w:tr>
      <w:tr>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CID-05</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Severe Hypotension Risk</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Patient on ≥3 antihypertensives + SGLT2i AND SBP &lt;95 mmHg (home reading) OR SBP drop &gt;30 mmHg from 7-day average</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Polypharmacy-driven hypotension. SGLT2i contributes ~3–5 mmHg SBP reduction on top of existing antihypertensive load. Acute precipitant (dehydration, illness, new drug) tips into symptomatic hypotension.</w:t>
            </w:r>
          </w:p>
        </w:tc>
        <w:tc>
          <w:tcPr>
            <w:tcW w:type="dxa" w:w="2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HALT: Severe hypotension risk. SBP [value] on [count] antihypertensives + SGLT2i. Assess for dehydration, orthostatic symptoms, falls risk.</w:t>
            </w:r>
          </w:p>
        </w:tc>
        <w:tc>
          <w:tcPr>
            <w:tcW w:type="dxa" w:w="32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16"/>
                <w:szCs w:val="16"/>
              </w:rPr>
              <w:t xml:space="preserve">Review all antihypertensive doses. Reduce or hold the most recently added agent. Check orthostatic BP. Assess hydration. If SBP &lt;85: urgent review.</w:t>
            </w:r>
          </w:p>
        </w:tc>
      </w:tr>
    </w:tbl>
    <w:p>
      <w:r>
        <w:br w:type="page"/>
      </w:r>
    </w:p>
    <w:p>
      <w:pPr>
        <w:pStyle w:val="Heading2"/>
        <w:spacing w:after="160" w:before="280"/>
      </w:pPr>
      <w:r>
        <w:rPr>
          <w:rFonts w:ascii="Arial" w:cs="Arial" w:eastAsia="Arial" w:hAnsi="Arial"/>
          <w:b/>
          <w:bCs/>
          <w:color w:val="2E75B6"/>
          <w:sz w:val="28"/>
          <w:szCs w:val="28"/>
        </w:rPr>
        <w:t xml:space="preserve">3.2 PAUSE-Severity Rules (Correction Loop Paused, Physician Review Within 48h)</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800"/>
        <w:gridCol w:w="2800"/>
        <w:gridCol w:w="2800"/>
        <w:gridCol w:w="328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Concern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Content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CID-06</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Thiazide Glucose Worsening</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Patient on thiazide diuretic AND FBG 7d avg increased &gt;15 mg/dL in 14 days without other explanation (no dietary change, no steroid, no illness)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Thiazides cause dose-dependent glucose elevation (0.2–0.5% HbA1c equivalent). In a patient near glycemic target, thiazide can push them over the threshold. Cross-domain: BP drug worsening glucose.</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PAUSE: Thiazide-associated glucose rise. FBG increased [delta] mg/dL since [date]. Patient on [thiazide]. Consider: CCB substitution, dose reduction, or SGLT2i addition (which offsets the glucose rise).</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If SGLT2i (Pillar 2) is not yet prescribed: recommend SGLT2i addition (addresses glucose + BP, making thiazide partially redundant). If SGLT2i already active: consider switching thiazide to CCB (amlodipine). GLYC-1 dose titration paused until BP medication is resolved.</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CID-07</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ACEi + Declining eGFR (Beyond Expected Dip)</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Patient on ACEi/ARB AND eGFR drop &gt;25% from pre-initiation baseline (captured in IOR) AND &gt;6 weeks since initiation (past the expected hemodynamic dip window)</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Initial eGFR dip of 10–25% is expected and protective with RASi. But &gt;25% sustained beyond 6 weeks suggests: renal artery stenosis, true nephrotoxicity, or progression of underlying CKD. Requires differentiation.</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PAUSE: Sustained eGFR decline on [RASi]. eGFR [current] vs [baseline] ([pct_decline]%). Expected dip window (6 weeks) has passed. Assess for renal artery stenosis or drug-related nephrotoxicity.</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Renal ultrasound with Doppler (screen for renal artery stenosis). If stenosis: stop ACEi/ARB, switch to CCB. If no stenosis: reduce ACEi/ARB dose by 50%, recheck eGFR in 4 weeks. If eGFR stabilises: cautious re-uptitration. If continues to decline: nephrology referral.</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CID-08</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Statin + New Muscle Symptoms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Patient on statin AND patient reports new muscle pain/weakness (S18 patient-reported symptom) AND no other cause identified (no recent exercise change, no trauma)</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Statin myopathy. Ranges from mild myalgia (5–10% of patients) to rare rhabdomyolysis (&lt;0.1%). Cross-domain relevance: statins are prescribed for CV risk reduction in diabetic patients — discontinuation increases MACE risk.</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PAUSE: Possible statin myopathy. Patient reports [symptom] on [statin]. Check CK level. Do not discontinue without CK assessment.</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Order CK (creatine kinase). If CK &lt;5x ULN: reassure, consider statin switch (rosuvastatin → atorvastatin or vice versa). If CK 5–10x ULN: hold statin, recheck in 2 weeks. If CK &gt;10x ULN: discontinue, urgent review for rhabdomyolysis.</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CID-09</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GLP-1RA + Acute GI + Dehydration Signal</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Patient on GLP-1RA AND patient reports persistent nausea/vomiting (&gt;48h) AND weight drop &gt;1.5kg in 7 days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GLP-1RA causes GI side effects in 15–40% of patients. Usually transient with dose titration. But persistent GI symptoms + weight loss may indicate dehydration, especially if patient is also on diuretics or SGLT2i. AKI risk.</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PAUSE: GLP-1RA GI intolerance with possible dehydration. Weight [current] vs [7d ago] (−[delta] kg). Assess hydration. If concurrent SGLT2i/diuretic: assess renal function.</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Hold GLP-1RA dose escalation. If symptoms severe: reduce to previous tolerated dose. If concurrent SGLT2i + diuretic: check eGFR + creatinine urgently. Ensure adequate fluid intake (&gt;2L/day). Resume dose titration only after symptoms resolve for 7 days.</w:t>
            </w:r>
          </w:p>
        </w:tc>
      </w:tr>
      <w:tr>
        <w:tc>
          <w:tcPr>
            <w:tcW w:type="dxa" w:w="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CID-10</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Concurrent Glucose AND BP Deterioration</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FBG 7d avg increased &gt;20 mg/dL AND SBP 7d avg increased &gt;10 mmHg, both within the same 14-day window, AND no new medication change explains both</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Simultaneous deterioration in both domains without an obvious cause suggests: non-adherence (stopped taking medications), intercurrent illness, major lifestyle disruption (job loss, family crisis), or new comorbidity (thyroid, adrenal). Requires integrated assessment, not siloed responses.</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PAUSE: Dual-domain deterioration. Glucose AND BP worsening simultaneously without medication change. Assess: medication adherence, intercurrent illness, lifestyle disruption, screen for secondary causes.</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16"/>
                <w:szCs w:val="16"/>
              </w:rPr>
              <w:t xml:space="preserve">Contact patient directly (care coordinator call). Assess adherence (medication reminder response rate, pharmacy refills). If non-adherence: re-engagement intervention (see Deep Dive #8). If adherent: screen for intercurrent illness, thyroid function, cortisol. Do NOT titrate medications until root cause identified.</w:t>
            </w:r>
          </w:p>
        </w:tc>
      </w:tr>
    </w:tbl>
    <w:p>
      <w:r>
        <w:br w:type="page"/>
      </w:r>
    </w:p>
    <w:p>
      <w:pPr>
        <w:pStyle w:val="Heading2"/>
        <w:spacing w:after="160" w:before="280"/>
      </w:pPr>
      <w:r>
        <w:rPr>
          <w:rFonts w:ascii="Arial" w:cs="Arial" w:eastAsia="Arial" w:hAnsi="Arial"/>
          <w:b/>
          <w:bCs/>
          <w:color w:val="2E75B6"/>
          <w:sz w:val="28"/>
          <w:szCs w:val="28"/>
        </w:rPr>
        <w:t xml:space="preserve">3.3 SOFT_FLAG-Severity Rules (Warning Attached to Decision Cards)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400"/>
        <w:gridCol w:w="4200"/>
        <w:gridCol w:w="368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 Name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Warning Content</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Attached To</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CID-11</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SGLT2i + Genital Infection History</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 has history of genital mycotic infection (from KB-20 ADR profile) AND SGLT2i is being recommended (Pillar 2 gap)</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WARNING: Patient has history of genital infection. SGLT2i may increase recurrence. Monitor closely. Consider prophylactic antifungal if recurrence occurs.</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PILLAR_GAP card recommending SGLT2i</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CID-12</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Polypharmacy Burden Threshold</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 on ≥8 daily medications AND new medication is being recommended</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WARNING: Polypharmacy burden high ([count] daily medications). Consider DEPRESC-1 review before adding. Patient may have adherence challenges with additional medication.</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Any MEDICATION_ADD Decision Card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CID-13</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Elderly + Intensive BP Target</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 age ≥75 AND SBP target &lt;130 mmHg AND any of: eGFR &lt;45, history of falls, orthostatic hypotension documented</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WARNING: Intensive SBP target (&lt;130) may increase adverse events in this elderly patient. Consider relaxing to &lt;140 mmHg per ADA 2026 frailty guidance.</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HYPERTENSION_REVIEW card, INTEGRATED_DUAL_DOMAIN card</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CID-14</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Metformin Near eGFR Threshold</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 on metformin AND eGFR 30–35 (approaching 30 contraindication threshold) AND eGFR trajectory DECLINING</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WARNING: eGFR approaching metformin threshold (30). Current [value], slope [slope]/yr. Plan for dose reduction at eGFR 30–45, discontinuation at &lt;30. Consider SGLT2i as glucose-lowering replacement.</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MEDICATION_REVIEW card from GLYC-1</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CID-15</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SGLT2i + NSAID Use</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 on SGLT2i AND NSAIDs detected in medication list or patient reports regular NSAID use</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WARNING: NSAIDs + SGLT2i increase AKI risk and reduce SGLT2i renal benefit. Advise NSAID avoidance. If analgesia needed: paracetamol preferred.</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Any card for this patient</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CID-16</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Salt-Sensitive Patient on Salt-Raising Drug</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 phenotype = HIGH_SALT_SENSITIVITY (from Deep Dive #2) AND newly prescribed drug has known sodium-retaining effect (fludrocortisone, systemic corticosteroids)</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WARNING: Patient is salt-sensitive (sodium-BP slope [value]). [Drug] may cause sodium retention and BP elevation. Monitor BP closely after initiation.</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MEDICATION_REVIEW or external medication change detection</w:t>
            </w:r>
          </w:p>
        </w:tc>
      </w:tr>
      <w:tr>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CID-17</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SGLT2i + Fasting Period</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Patient on SGLT2i AND KB-21 cultural calendar indicates active fasting period (Ramadan, Navratri, Ekadashi) AND fasting duration &gt;16h</w:t>
            </w:r>
          </w:p>
        </w:tc>
        <w:tc>
          <w:tcPr>
            <w:tcW w:type="dxa" w:w="4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WARNING: Extended fasting on SGLT2i increases DKA and dehydration risk. Advise adequate hydration during non-fasting hours. Consider holding SGLT2i during extended fasts (&gt;20h).</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16"/>
                <w:szCs w:val="16"/>
              </w:rPr>
              <w:t xml:space="preserve">Perturbation-aware card during fasting period</w:t>
            </w:r>
          </w:p>
        </w:tc>
      </w:tr>
    </w:tbl>
    <w:p>
      <w:pPr>
        <w:pBdr>
          <w:left w:val="single" w:color="FF8F00" w:sz="6" w:space="8"/>
        </w:pBdr>
        <w:spacing w:after="120"/>
        <w:ind w:left="240"/>
      </w:pPr>
      <w:r>
        <w:rPr>
          <w:rFonts w:ascii="Arial" w:cs="Arial" w:eastAsia="Arial" w:hAnsi="Arial"/>
          <w:b/>
          <w:bCs/>
          <w:color w:val="FF8F00"/>
          <w:sz w:val="20"/>
          <w:szCs w:val="20"/>
        </w:rPr>
        <w:t xml:space="preserve">MARKET SHIM: </w:t>
      </w:r>
      <w:r>
        <w:rPr>
          <w:rFonts w:ascii="Arial" w:cs="Arial" w:eastAsia="Arial" w:hAnsi="Arial"/>
          <w:sz w:val="20"/>
          <w:szCs w:val="20"/>
        </w:rPr>
        <w:t xml:space="preserve">CID-17 fasting period detection uses the cultural calendar from the localization bundle (Component 7 of Market Shim). Ramadan dates differ by year and market. Navratri is India-specific. The detector calls culturalCalendar.isActiveFastingPeriod(date, patient.channel) — market-independent logic, market-specific calendar.</w:t>
      </w:r>
    </w:p>
    <w:p>
      <w:r>
        <w:br w:type="page"/>
      </w:r>
    </w:p>
    <w:p>
      <w:pPr>
        <w:pStyle w:val="Heading1"/>
        <w:spacing w:after="200" w:before="360"/>
      </w:pPr>
      <w:r>
        <w:rPr>
          <w:rFonts w:ascii="Arial" w:cs="Arial" w:eastAsia="Arial" w:hAnsi="Arial"/>
          <w:b/>
          <w:bCs/>
          <w:color w:val="1B3A5C"/>
          <w:sz w:val="32"/>
          <w:szCs w:val="32"/>
        </w:rPr>
        <w:t xml:space="preserve">4. Alert Pipeline and Physician Notification Workflow</w:t>
      </w:r>
    </w:p>
    <w:p>
      <w:pPr>
        <w:pStyle w:val="Heading2"/>
        <w:spacing w:after="160" w:before="280"/>
      </w:pPr>
      <w:r>
        <w:rPr>
          <w:rFonts w:ascii="Arial" w:cs="Arial" w:eastAsia="Arial" w:hAnsi="Arial"/>
          <w:b/>
          <w:bCs/>
          <w:color w:val="2E75B6"/>
          <w:sz w:val="28"/>
          <w:szCs w:val="28"/>
        </w:rPr>
        <w:t xml:space="preserve">4.1 Alert Event Schema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98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alert_id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v7</w:t>
            </w:r>
          </w:p>
        </w:tc>
        <w:tc>
          <w:tcPr>
            <w:tcW w:type="dxa" w:w="9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Unique alert identifier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patient_id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UUID</w:t>
            </w:r>
          </w:p>
        </w:tc>
        <w:tc>
          <w:tcPr>
            <w:tcW w:type="dxa" w:w="9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Affected patient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9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CID-01 through CID-17</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severity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 HALT / PAUSE / SOFT_FLAG</w:t>
            </w:r>
          </w:p>
        </w:tc>
        <w:tc>
          <w:tcPr>
            <w:tcW w:type="dxa" w:w="9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Determines routing and notification urgency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trigger_summary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9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Human-readable description of what triggered the alert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medications_involved[]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9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List of drugs in the interaction (e.g., [‘ramipril 10mg’, ‘empagliflozin 10mg’, ‘chlorthalidone 12.5mg’])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lab_values_involved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w:t>
            </w:r>
          </w:p>
        </w:tc>
        <w:tc>
          <w:tcPr>
            <w:tcW w:type="dxa" w:w="9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Relevant lab values at trigger time (eGFR, K+, CK, etc.)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vitals_involved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JSON</w:t>
            </w:r>
          </w:p>
        </w:tc>
        <w:tc>
          <w:tcPr>
            <w:tcW w:type="dxa" w:w="9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Relevant vitals (SBP, weight, glucose)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recommended_action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9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Deterministic recommendation text from rule definition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suppression_key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9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rule_id + patient_id + hash(medications_involved). Used for dedup — same alert for same patient + same drug combo not re-fired within 72h unless severity escalates.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 8601</w:t>
            </w:r>
          </w:p>
        </w:tc>
        <w:tc>
          <w:tcPr>
            <w:tcW w:type="dxa" w:w="9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Alert generation timestamp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resolved_at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ISO 8601 (nullable)</w:t>
            </w:r>
          </w:p>
        </w:tc>
        <w:tc>
          <w:tcPr>
            <w:tcW w:type="dxa" w:w="9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When the alert was acknowledged or auto-resolved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resolution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 (nullable)</w:t>
            </w:r>
          </w:p>
        </w:tc>
        <w:tc>
          <w:tcPr>
            <w:tcW w:type="dxa" w:w="9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PHYSICIAN_ACKNOWLEDGED / PHYSICIAN_ACTIONED / AUTO_RESOLVED / EXPIRED</w:t>
            </w:r>
          </w:p>
        </w:tc>
      </w:tr>
    </w:tbl>
    <w:p>
      <w:pPr>
        <w:pStyle w:val="Heading2"/>
        <w:spacing w:after="160" w:before="280"/>
      </w:pPr>
      <w:r>
        <w:rPr>
          <w:rFonts w:ascii="Arial" w:cs="Arial" w:eastAsia="Arial" w:hAnsi="Arial"/>
          <w:b/>
          <w:bCs/>
          <w:color w:val="2E75B6"/>
          <w:sz w:val="28"/>
          <w:szCs w:val="28"/>
        </w:rPr>
        <w:t xml:space="preserve">4.2 Notification Routing by Severity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2400"/>
        <w:gridCol w:w="2800"/>
        <w:gridCol w:w="388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Notification Channel</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SLA</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Dashboard Presentation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Decision Card Impact</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Escalation if Unacknowledged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FCM push notification + SMS to physician. Side output to ingestion.safety-critical. If SMS fails: fallback to care coordinator phone call.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&lt;5 minutes from detection to physician notification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 banner at top of patient’s dashboard view. Cannot be dismissed without acknowledging. Blocks other card actions for this patient until resolved.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pending Decision Cards for this patient are PAUSED. New cards not generated until HALT is resolved. SAFETY_ALERT card generated with the alert content.</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unacknowledged after 30 minutes: escalate to care coordinator. After 2 hours: escalate to clinical supervisor.</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PAUSE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FCM push notification to physician. Email summary.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&lt;1 hour from detection to notification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ORANGE badge on patient’s queue entry. Visible but does not block other actions.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Correction loop PAUSED for the affected domain(s). Existing cards remain visible but new titration cards are suppressed until PAUSE is resolved.</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unacknowledged after 24 hours: daily reminder. After 72 hours: escalate to care coordinator.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SOFT_FLAG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direct notification. Attached to the next Decision Card generated for this patient.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Attached at card generation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YELLOW flag icon on the relevant Decision Card. Warning text visible when card is expanded.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Card is generated normally. Warning is ADDITIONAL information, not a blocker. Physician sees the warning before tapping Approve.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escalation. Warning persists on cards until the triggering condition resolves.</w:t>
            </w:r>
          </w:p>
        </w:tc>
      </w:tr>
    </w:tbl>
    <w:p>
      <w:pPr>
        <w:pStyle w:val="Heading2"/>
        <w:spacing w:after="160" w:before="280"/>
      </w:pPr>
      <w:r>
        <w:rPr>
          <w:rFonts w:ascii="Arial" w:cs="Arial" w:eastAsia="Arial" w:hAnsi="Arial"/>
          <w:b/>
          <w:bCs/>
          <w:color w:val="2E75B6"/>
          <w:sz w:val="28"/>
          <w:szCs w:val="28"/>
        </w:rPr>
        <w:t xml:space="preserve">4.3 Alert Lifecycle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76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States</w:t>
            </w:r>
          </w:p>
        </w:tc>
        <w:tc>
          <w:tcPr>
            <w:tcW w:type="dxa" w:w="7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Rule fires, alert created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ACKNOWLEDGED / AUTO_RESOLVED / ESCALATED</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Alert is visible in physician dashboard and notification queue.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ACKNOWLEDGED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taps ‘Acknowledge’ on the alert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ACTIONED / EXPIRED</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has seen the alert. SLA clock stops. Expectation: physician takes action within 48h (HALT) or 7d (PAUSE).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ACTIONED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takes a specific action (medication change, lab order, etc.) that addresses the alert’s trigger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RESOLVED</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action is captured as an intervention event (clinical.intervention-events). IOR may be generated if the action is a medication change.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AUTO_RESOLVED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The triggering condition no longer applies (e.g., K+ dropped below 5.0, eGFR stabilised, patient stopped fasting)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RESOLVED</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System checks triggering conditions on each relevant new data point. If condition no longer met: auto-resolve.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ESCALATED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SLA exceeded without acknowledgment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ACKNOWLEDGED (after escalation)</w:t>
            </w:r>
          </w:p>
        </w:tc>
        <w:tc>
          <w:tcPr>
            <w:tcW w:type="dxa" w:w="7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Escalation follows severity-specific path (see Section 4.2).</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EXPIRED</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72 hours after ACKNOWLEDGED without ACTIONED (PAUSE/SOFT_FLAG only)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Archived</w:t>
            </w:r>
          </w:p>
        </w:tc>
        <w:tc>
          <w:tcPr>
            <w:tcW w:type="dxa" w:w="7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Logged in SafetyTrace. If the triggering condition persists, a NEW alert will fire at the next evaluation.</w:t>
            </w:r>
          </w:p>
        </w:tc>
      </w:tr>
    </w:tbl>
    <w:p>
      <w:r>
        <w:br w:type="page"/>
      </w:r>
    </w:p>
    <w:p>
      <w:pPr>
        <w:pStyle w:val="Heading1"/>
        <w:spacing w:after="200" w:before="360"/>
      </w:pPr>
      <w:r>
        <w:rPr>
          <w:rFonts w:ascii="Arial" w:cs="Arial" w:eastAsia="Arial" w:hAnsi="Arial"/>
          <w:b/>
          <w:bCs/>
          <w:color w:val="1B3A5C"/>
          <w:sz w:val="32"/>
          <w:szCs w:val="32"/>
        </w:rPr>
        <w:t xml:space="preserve">5. Implementation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600"/>
        <w:gridCol w:w="44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A: Core Flink job + HALT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1–3</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Flink CEP job deployed with CID-01 through CID-05 (HALT rules). Per-patient keyed state for medication list + recent labs + vitals. Side output to ingestion.safety-critical. Alert event schema. Physician dashboard HALT banner.</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medication state (V3, exists). ingestion.labs + ingestion.vitals topics flowing. Notification service (V3, exists).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B: PAUSE rules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3–5</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CID-06 through CID-10 (PAUSE rules). Correction loop pause integration (V-MCU reads comorbidity alert state before generating cards). Alert lifecycle management (acknowledge, action, auto-resolve, escalate).</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V-MCU RunCycle (V3, exists). Decision Card pipeline (Deep Dive #5).</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C: SOFT_FLAG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5–6</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CID-11 through CID-17 (SOFT_FLAG rules). Integration with KB-23 Decision Card template: flags attached to cards before emission. Cultural calendar integration for CID-17 fasting detection.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card builder (Deep Dive #5). Localization bundle (Deep Dive #0).</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D: Analytics + Rule Evolution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 3+</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Alert frequency dashboard. Per-rule fire rate and acknowledgment rate. False positive tracking (alerts that auto-resolve within 24h without physician action). Monthly rule review with clinical team. New rules added from physician CONTRAINDICATION_KNOWN feedback (Deep Dive #4, Section 8).</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Sufficient alert volume for statistical analysis (~100+ alerts per rule).</w:t>
            </w:r>
          </w:p>
        </w:tc>
      </w:tr>
    </w:tbl>
    <w:p>
      <w:pPr>
        <w:spacing w:before="400"/>
      </w:pPr>
      <w:r>
        <w:rPr>
          <w:rFonts w:ascii="Arial" w:cs="Arial" w:eastAsia="Arial" w:hAnsi="Arial"/>
          <w:i/>
          <w:iCs/>
          <w:color w:val="888888"/>
          <w:sz w:val="20"/>
          <w:szCs w:val="20"/>
        </w:rPr>
        <w:t xml:space="preserve">End of Deep Dive #7: Comorbidity Interaction Detector</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Deep Dive #7: Comorbidity Interaction Detector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2026-03-26T05:25:07.773Z</dcterms:created>
  <dcterms:modified xsi:type="dcterms:W3CDTF">2026-03-26T05:25:07.774Z</dcterms:modified>
</cp:coreProperties>
</file>

<file path=docProps/custom.xml><?xml version="1.0" encoding="utf-8"?>
<Properties xmlns="http://schemas.openxmlformats.org/officeDocument/2006/custom-properties" xmlns:vt="http://schemas.openxmlformats.org/officeDocument/2006/docPropsVTypes"/>
</file>