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1B3A5C"/>
          <w:sz w:val="40"/>
          <w:szCs w:val="40"/>
        </w:rPr>
        <w:t xml:space="preserve">VAIDSHALA v4 — Deep Dive #9</w:t>
      </w:r>
    </w:p>
    <w:p>
      <w:pPr>
        <w:spacing w:after="200"/>
        <w:jc w:val="center"/>
      </w:pPr>
      <w:r>
        <w:rPr>
          <w:rFonts w:ascii="Arial" w:cs="Arial" w:eastAsia="Arial" w:hAnsi="Arial"/>
          <w:color w:val="2E75B6"/>
          <w:sz w:val="36"/>
          <w:szCs w:val="36"/>
        </w:rPr>
        <w:t xml:space="preserve">Population Phenotype Clustering</w:t>
      </w:r>
    </w:p>
    <w:p>
      <w:pPr>
        <w:spacing w:after="200"/>
        <w:jc w:val="center"/>
      </w:pPr>
      <w:r>
        <w:rPr>
          <w:rFonts w:ascii="Arial" w:cs="Arial" w:eastAsia="Arial" w:hAnsi="Arial"/>
          <w:color w:val="555555"/>
          <w:sz w:val="24"/>
          <w:szCs w:val="24"/>
        </w:rPr>
        <w:t xml:space="preserve">Feature Engineering • Clustering Methodology • Clinical Validation • Therapy Mapping</w:t>
      </w:r>
    </w:p>
    <w:p>
      <w:pPr>
        <w:spacing w:after="200"/>
        <w:jc w:val="center"/>
      </w:pPr>
      <w:r>
        <w:rPr>
          <w:rFonts w:ascii="Arial" w:cs="Arial" w:eastAsia="Arial" w:hAnsi="Arial"/>
          <w:color w:val="777777"/>
          <w:sz w:val="22"/>
          <w:szCs w:val="22"/>
        </w:rPr>
        <w:t xml:space="preserve">South Asian Metabolic Phenotypes • Phenotype Transfer to Diaspora • IOR-Driven Refinement</w:t>
      </w:r>
    </w:p>
    <w:p>
      <w:pPr>
        <w:spacing w:after="600"/>
        <w:jc w:val="center"/>
      </w:pPr>
      <w:r>
        <w:rPr>
          <w:rFonts w:ascii="Arial" w:cs="Arial" w:eastAsia="Arial" w:hAnsi="Arial"/>
          <w:sz w:val="20"/>
          <w:szCs w:val="20"/>
        </w:rPr>
        <w:t xml:space="preserve">March 2026  |  ENGINEERING CONFIDENTIAL</w:t>
      </w:r>
    </w:p>
    <w:p>
      <w:r>
        <w:br w:type="page"/>
      </w:r>
    </w:p>
    <w:p>
      <w:pPr>
        <w:pStyle w:val="Heading1"/>
        <w:spacing w:after="200" w:before="360"/>
      </w:pPr>
      <w:r>
        <w:rPr>
          <w:rFonts w:ascii="Arial" w:cs="Arial" w:eastAsia="Arial" w:hAnsi="Arial"/>
          <w:b/>
          <w:bCs/>
          <w:color w:val="1B3A5C"/>
          <w:sz w:val="32"/>
          <w:szCs w:val="32"/>
        </w:rPr>
        <w:t xml:space="preserve">1. Why Phenotype Clustering Is the Phase 3 Inflection Point</w:t>
      </w:r>
    </w:p>
    <w:p>
      <w:pPr>
        <w:spacing w:after="120" w:line="276"/>
      </w:pPr>
      <w:r>
        <w:rPr>
          <w:rFonts w:ascii="Arial" w:cs="Arial" w:eastAsia="Arial" w:hAnsi="Arial"/>
          <w:sz w:val="20"/>
          <w:szCs w:val="20"/>
        </w:rPr>
        <w:t xml:space="preserve">Phases 1 and 2 build the data collection and correction loop machinery. Phase 3 is where the data starts speaking. With ≥10,000 patients × 90 days of longitudinal data, the system has accumulated enough intervention-outcome records, meal-response profiles, BP variability patterns, and four-pillar assessments to discover that patients are NOT homogeneous. They cluster into distinct phenotypic groups that respond differently to different interventions.</w:t>
      </w:r>
    </w:p>
    <w:p>
      <w:pPr>
        <w:spacing w:after="120" w:line="276"/>
      </w:pPr>
      <w:r>
        <w:rPr>
          <w:rFonts w:ascii="Arial" w:cs="Arial" w:eastAsia="Arial" w:hAnsi="Arial"/>
          <w:sz w:val="20"/>
          <w:szCs w:val="20"/>
        </w:rPr>
        <w:t xml:space="preserve">This matters because the correction loop in Phases 1–2 treats all patients identically: same protocol sequences, same dose titration logic, same dietary recommendations. Phenotype clustering enables STRATIFIED protocols: for patients in Cluster X, GLP-1RA produces 2x the glucose reduction of SGLT2i. For Cluster Y, the reverse. For Cluster Z, sodium reduction is as effective as adding a medication. Without clustering, every recommendation is population-average. With it, recommendations are phenotype-specific.</w:t>
      </w:r>
    </w:p>
    <w:p>
      <w:pPr>
        <w:pStyle w:val="Heading2"/>
        <w:spacing w:after="160" w:before="280"/>
      </w:pPr>
      <w:r>
        <w:rPr>
          <w:rFonts w:ascii="Arial" w:cs="Arial" w:eastAsia="Arial" w:hAnsi="Arial"/>
          <w:b/>
          <w:bCs/>
          <w:color w:val="2E75B6"/>
          <w:sz w:val="28"/>
          <w:szCs w:val="28"/>
        </w:rPr>
        <w:t xml:space="preserve">1.1 Why South Asian Phenotyping Doesn’t Exist Elsewhere</w:t>
      </w:r>
    </w:p>
    <w:p>
      <w:pPr>
        <w:spacing w:after="120" w:line="276"/>
      </w:pPr>
      <w:r>
        <w:rPr>
          <w:rFonts w:ascii="Arial" w:cs="Arial" w:eastAsia="Arial" w:hAnsi="Arial"/>
          <w:sz w:val="20"/>
          <w:szCs w:val="20"/>
        </w:rPr>
        <w:t xml:space="preserve">The landmark Ahlqvist 2018 Lancet study identified 5 diabetes subgroups (SAID, SIDD, SIRD, MOD, MARD) using 6 clinical variables. But that study was conducted in Scandinavian populations. When replicated in Asian populations, the SIDD (Severe Insulin-Deficient Diabetes) cluster is significantly more prevalent, reflecting the South Asian phenotype of lower beta-cell reserve. The INSPIRED study confirmed this in Indian populations. But NO study has combined diabetes clustering with BP variability patterns, meal-glucose response profiles, sodium-BP sensitivity, and real-world intervention outcomes. That’s what Vaidshala builds.</w:t>
      </w:r>
    </w:p>
    <w:p>
      <w:pPr>
        <w:spacing w:after="120" w:line="276"/>
      </w:pPr>
      <w:r>
        <w:rPr>
          <w:rFonts w:ascii="Arial" w:cs="Arial" w:eastAsia="Arial" w:hAnsi="Arial"/>
          <w:sz w:val="20"/>
          <w:szCs w:val="20"/>
        </w:rPr>
        <w:t xml:space="preserve">The unique dataset for clustering comes from the intersection of all previous deep dives: meal-response pairs (Deep Dive #2) + BP variability patterns (Deep Dive #1) + salt sensitivity phenotype (Deep Dive #2) + four-pillar status (Deep Dive #3) + IOR outcomes (Deep Dive #4) + MHRI trajectory (Deep Dive #6) + engagement patterns (Deep Dive #8). No other platform has this multi-dimensional longitudinal data for South Asian populations.</w:t>
      </w:r>
    </w:p>
    <w:p>
      <w:pPr>
        <w:pBdr>
          <w:left w:val="single" w:color="C62828" w:sz="6" w:space="8"/>
        </w:pBdr>
        <w:spacing w:after="200" w:before="200"/>
        <w:ind w:left="240"/>
      </w:pPr>
      <w:r>
        <w:rPr>
          <w:rFonts w:ascii="Arial" w:cs="Arial" w:eastAsia="Arial" w:hAnsi="Arial"/>
          <w:b/>
          <w:bCs/>
          <w:color w:val="C62828"/>
          <w:sz w:val="20"/>
          <w:szCs w:val="20"/>
        </w:rPr>
        <w:t xml:space="preserve">DESIGN RULE: </w:t>
      </w:r>
      <w:r>
        <w:rPr>
          <w:rFonts w:ascii="Arial" w:cs="Arial" w:eastAsia="Arial" w:hAnsi="Arial"/>
          <w:sz w:val="20"/>
          <w:szCs w:val="20"/>
        </w:rPr>
        <w:t xml:space="preserve">Phenotype clustering is OFFLINE BATCH ML in Layer 5. It runs quarterly. It produces LABELS (cluster assignments) that are stored in KB-20 as a field. The correction loop (Layer 3) reads the label DETERMINISTICALLY. The clustering algorithm is not in the clinical decision path. The label is. A cluster label is like a blood type — it’s a classification that informs treatment selection, not a treatment decision itself.</w:t>
      </w:r>
    </w:p>
    <w:p>
      <w:r>
        <w:br w:type="page"/>
      </w:r>
    </w:p>
    <w:p>
      <w:pPr>
        <w:pStyle w:val="Heading1"/>
        <w:spacing w:after="200" w:before="360"/>
      </w:pPr>
      <w:r>
        <w:rPr>
          <w:rFonts w:ascii="Arial" w:cs="Arial" w:eastAsia="Arial" w:hAnsi="Arial"/>
          <w:b/>
          <w:bCs/>
          <w:color w:val="1B3A5C"/>
          <w:sz w:val="32"/>
          <w:szCs w:val="32"/>
        </w:rPr>
        <w:t xml:space="preserve">2. Feature Engineering</w:t>
      </w:r>
    </w:p>
    <w:p>
      <w:pPr>
        <w:spacing w:after="120" w:line="276"/>
      </w:pPr>
      <w:r>
        <w:rPr>
          <w:rFonts w:ascii="Arial" w:cs="Arial" w:eastAsia="Arial" w:hAnsi="Arial"/>
          <w:sz w:val="20"/>
          <w:szCs w:val="20"/>
        </w:rPr>
        <w:t xml:space="preserve">Each patient is represented by a feature vector derived from their longitudinal KB-20 data. Features are computed from ≥90 days of data. Patients with &lt;90 days are excluded from clustering (they receive the DEFAULT phenotype assignment until they accumulate sufficient data).</w:t>
      </w:r>
    </w:p>
    <w:p>
      <w:pPr>
        <w:pStyle w:val="Heading2"/>
        <w:spacing w:after="160" w:before="280"/>
      </w:pPr>
      <w:r>
        <w:rPr>
          <w:rFonts w:ascii="Arial" w:cs="Arial" w:eastAsia="Arial" w:hAnsi="Arial"/>
          <w:b/>
          <w:bCs/>
          <w:color w:val="2E75B6"/>
          <w:sz w:val="28"/>
          <w:szCs w:val="28"/>
        </w:rPr>
        <w:t xml:space="preserve">2.1 Feature Categories and Definitions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400"/>
        <w:gridCol w:w="2200"/>
        <w:gridCol w:w="468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Computation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Clinical Rationale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Glycemic Response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carb_sensitivity_slope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Linear regression: meal excursion (mg/dL) vs carb_g across all meal-response pairs. Higher slope = more carb-sensitive.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MealPatternAggregator (Deep Dive #2)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Separates patients who spike 80 mg/dL from 20g carbs vs those who barely respond. Drives dietary recommendation intensity.</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Glycemic Response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mean_postmeal_excursion</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Average excursion_mg_dl across all meals with paired glucose data</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MealPatternAggregator</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Absolute glycemic reactivity. Higher values indicate greater insulin resistance or beta-cell failure.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Glycemic Response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glucose_cv_90d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Average daily glucose CV over 90 days (Tier 1/2 CGM only, null for Tier 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Flink CGM Aggregation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Glucose variability independent of mean. High CV with moderate HbA1c = brittle diabetes.</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Glycemic Response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hba1c_trajectory_slope</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OLS slope of HbA1c values over available time (requires ≥2 HbA1c in 12 months)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KB-20 glycemic trajectory</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Is HbA1c improving, stable, or worsening over the long term?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Hemodynamic Profile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salt_sensitivity_beta</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Sodium-BP regression slope from ≥30 paired sodium-BP data points (Deep Dive #2, Section 5.3)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MealPatternAggregator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most novel feature. Separates salt-sensitive from salt-resistant patients. Drives sodium reduction recommendation priority.</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Hemodynamic Profile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bp_arv_90d_mean</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Average of weekly ARV values over 90 days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BP Variability Engine (Deep Dive #1)</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High variability patients need different antihypertensive strategies (long-acting, evening dosing) than low-variability patients.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Hemodynamic Profile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morning_surge_90d_mean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Average of weekly morning surge values over 90 days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BP Variability Engine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Persistent morning surge indicates autonomic dysregulation — phenotype with specific therapeutic implications.</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Hemodynamic Profile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bp_response_to_medication</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Average SBP delta in IOR records for antihypertensive interventions for this patient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IOR store (Deep Dive #4)</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Some patients respond strongly to RASi, others to CCB. Captured from real-world IOR data.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Renal Vulnerability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egfr_slope_annual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eGFR decline rate (mL/min/1.73m²/year)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KB-20 renal trajectory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Rapid decliners (−5/yr) need aggressive nephroprotective strategy. Stable patients don’t.</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Renal Vulnerability</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uacr_latest</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Most recent UACR value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KB-20 labs</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Albuminuria severity at clustering time. Drives finerenone eligibility.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Metabolic Profile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bmi_at_enrollment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BMI at first enrollment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KB-20 anthropometric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Starting BMI determines metabolic phenotype. South Asians at BMI 23 have the metabolic risk of Europeans at BMI 30.</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Metabolic Profile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waist_to_bmi_ratio</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Waist circumference (cm) / BMI. Higher ratio = more visceral adiposity for a given BMI.</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KB-20 anthropometric</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South Asian-specific: captures visceral fat distribution that BMI alone misses. A key differentiator within the South Asian population.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Metabolic Profile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weight_trajectory_90d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Total weight change over 90 days (kg)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KB-20 weight trajectory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Gaining vs losing vs stable. Trajectory interacts with treatment response.</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Treatment Response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sglt2i_glucose_response</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FBG delta from IOR for SGLT2i initiation (if patient has received SGLT2i). Null if not yet prescribed.</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IOR store</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Individual drug response. Some patients have 30 mg/dL FBG reduction, others have 10 mg/dL. Pharmacogenomic variation.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Treatment Response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sglt2i_bp_response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SBP delta from IOR for SGLT2i initiation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IOR store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same drug produces different BP responses. Captured separately from glucose response.</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Treatment Response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glp1ra_weight_response</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Weight change from IOR for GLP-1RA initiation (if received). Null if not yet prescribed.</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IOR store</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Weight loss response to GLP-1RA varies 3-fold across patients (3 kg to 15 kg). Phenotype predicts response.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Behavioral Profile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engagement_90d_mean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Average daily engagement composite over 90 days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Engagement Monitor (Deep Dive #8)</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Engagement level predicts adherence which predicts outcomes. High-engagement patients respond differently from low-engagement patients.</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Behavioral Profile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meal_logging_compliance_90d</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Average meal logging compliance over 90 days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MealPatternAggregator</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Patients who consistently log meals have richer meal-response data and may respond better to dietary interventions.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Demographics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age_at_enrollment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Patient age at enrollment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KB-20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Age modulates insulin resistance, beta-cell reserve, CV risk, and renal vulnerability.</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Demographics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diabetes_duration_years</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Years since T2DM diagnosis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KB-20 clinical history</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Longer duration = lower beta-cell reserve = different treatment trajectory.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Demographics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sex</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Male / Female (encoded as 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KB-20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Sex-specific metabolic and hemodynamic patterns.</w:t>
            </w:r>
          </w:p>
        </w:tc>
      </w:tr>
    </w:tbl>
    <w:p>
      <w:pPr>
        <w:pBdr>
          <w:left w:val="single" w:color="2E75B6" w:sz="6" w:space="8"/>
        </w:pBdr>
        <w:spacing w:after="120"/>
        <w:ind w:left="240"/>
      </w:pPr>
      <w:r>
        <w:rPr>
          <w:rFonts w:ascii="Arial" w:cs="Arial" w:eastAsia="Arial" w:hAnsi="Arial"/>
          <w:i/>
          <w:iCs/>
          <w:color w:val="555555"/>
          <w:sz w:val="20"/>
          <w:szCs w:val="20"/>
        </w:rPr>
        <w:t xml:space="preserve">21 features per patient. Features are standardised (z-score normalisation) before clustering. Null values (treatment response features for patients who haven’t received that drug, glucose CV for Tier 3 patients) are handled by imputation: median of non-null values in the dataset. Alternatively, these features can be treated as optional and the clustering run with a subset of core features (≨15 non-null).</w:t>
      </w:r>
    </w:p>
    <w:p>
      <w:r>
        <w:br w:type="page"/>
      </w:r>
    </w:p>
    <w:p>
      <w:pPr>
        <w:pStyle w:val="Heading1"/>
        <w:spacing w:after="200" w:before="360"/>
      </w:pPr>
      <w:r>
        <w:rPr>
          <w:rFonts w:ascii="Arial" w:cs="Arial" w:eastAsia="Arial" w:hAnsi="Arial"/>
          <w:b/>
          <w:bCs/>
          <w:color w:val="1B3A5C"/>
          <w:sz w:val="32"/>
          <w:szCs w:val="32"/>
        </w:rPr>
        <w:t xml:space="preserve">3. Clustering Methodology</w:t>
      </w:r>
    </w:p>
    <w:p>
      <w:pPr>
        <w:spacing w:after="120" w:line="276"/>
      </w:pPr>
      <w:r>
        <w:rPr>
          <w:rFonts w:ascii="Arial" w:cs="Arial" w:eastAsia="Arial" w:hAnsi="Arial"/>
          <w:sz w:val="20"/>
          <w:szCs w:val="20"/>
        </w:rPr>
        <w:t xml:space="preserve">The clustering pipeline uses a two-stage approach: dimensionality reduction followed by density-based clustering. This is more robust than direct k-means on high-dimensional data because it handles non-linear relationships and does not force spherical cluster shapes.</w:t>
      </w:r>
    </w:p>
    <w:p>
      <w:pPr>
        <w:pStyle w:val="Heading2"/>
        <w:spacing w:after="160" w:before="280"/>
      </w:pPr>
      <w:r>
        <w:rPr>
          <w:rFonts w:ascii="Arial" w:cs="Arial" w:eastAsia="Arial" w:hAnsi="Arial"/>
          <w:b/>
          <w:bCs/>
          <w:color w:val="2E75B6"/>
          <w:sz w:val="28"/>
          <w:szCs w:val="28"/>
        </w:rPr>
        <w:t xml:space="preserve">3.1 Stage 1: Dimensionality Reduction via UMAP</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848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8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Algorithm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UMAP (Uniform Manifold Approximation and Projection)</w:t>
            </w:r>
          </w:p>
        </w:tc>
        <w:tc>
          <w:tcPr>
            <w:tcW w:type="dxa" w:w="8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Preserves both local and global structure better than t-SNE. More stable across runs. Recently validated in Chinese prediabetes phenotyping (Cardiovascular Diabetology 2025) and Kazakh T2DM clustering.</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Input</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21-feature standardised vector per patient (z-scored)</w:t>
            </w:r>
          </w:p>
        </w:tc>
        <w:tc>
          <w:tcPr>
            <w:tcW w:type="dxa" w:w="8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All features from Section 2 after null imputation and standardisation.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Output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2D or 3D embedding per patient</w:t>
            </w:r>
          </w:p>
        </w:tc>
        <w:tc>
          <w:tcPr>
            <w:tcW w:type="dxa" w:w="8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2D for visualisation and clustering. 3D tested if 2D cluster separation is poor.</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n_neighbors</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30 (tuned via silhouette score grid search: test 10, 20, 30, 50)</w:t>
            </w:r>
          </w:p>
        </w:tc>
        <w:tc>
          <w:tcPr>
            <w:tcW w:type="dxa" w:w="8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Controls the balance between local vs global structure. Higher values capture more global structure.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min_dist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0.1 (tuned: test 0.0, 0.1, 0.25, 0.5)</w:t>
            </w:r>
          </w:p>
        </w:tc>
        <w:tc>
          <w:tcPr>
            <w:tcW w:type="dxa" w:w="8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Controls how tightly UMAP packs points. Lower values create tighter clusters.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metric</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Euclidean (on standardised features)</w:t>
            </w:r>
          </w:p>
        </w:tc>
        <w:tc>
          <w:tcPr>
            <w:tcW w:type="dxa" w:w="8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Standard for mixed continuous features after z-scoring.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Reproducibility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Fixed random seed (42). Run 5 times with different seeds and verify cluster stability (Adjusted Rand Index ≥0.85 across runs).</w:t>
            </w:r>
          </w:p>
        </w:tc>
        <w:tc>
          <w:tcPr>
            <w:tcW w:type="dxa" w:w="8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UMAP can produce slightly different embeddings per run. Stability check ensures clusters are robust, not artefacts of random initialisation.</w:t>
            </w:r>
          </w:p>
        </w:tc>
      </w:tr>
    </w:tbl>
    <w:p>
      <w:pPr>
        <w:pStyle w:val="Heading2"/>
        <w:spacing w:after="160" w:before="280"/>
      </w:pPr>
      <w:r>
        <w:rPr>
          <w:rFonts w:ascii="Arial" w:cs="Arial" w:eastAsia="Arial" w:hAnsi="Arial"/>
          <w:b/>
          <w:bCs/>
          <w:color w:val="2E75B6"/>
          <w:sz w:val="28"/>
          <w:szCs w:val="28"/>
        </w:rPr>
        <w:t xml:space="preserve">3.2 Stage 2: Clustering on UMAP Embedding</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748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7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Primary Algorithm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HDBSCAN (Hierarchical Density-Based Spatial Clustering of Applications with Noise)</w:t>
            </w:r>
          </w:p>
        </w:tc>
        <w:tc>
          <w:tcPr>
            <w:tcW w:type="dxa" w:w="7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Automatically determines the number of clusters (unlike k-means). Handles non-convex cluster shapes. Identifies noise points (patients who don’t fit any cluster cleanly). Validated in recent diabetes phenotyping literature.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min_cluster_size</w:t>
            </w:r>
          </w:p>
        </w:tc>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200 (tuned: test 100, 200, 500. Must produce clusters large enough for IOR similar-patient queries — each cluster needs ≥30 IOR records per drug class.)</w:t>
            </w:r>
          </w:p>
        </w:tc>
        <w:tc>
          <w:tcPr>
            <w:tcW w:type="dxa" w:w="7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Too small: clinically meaningless micro-clusters. Too large: loses heterogeneity.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min_samples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50</w:t>
            </w:r>
          </w:p>
        </w:tc>
        <w:tc>
          <w:tcPr>
            <w:tcW w:type="dxa" w:w="7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Controls how conservative the clustering is. Higher values produce fewer, denser clusters.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Noise handling</w:t>
            </w:r>
          </w:p>
        </w:tc>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Patients classified as noise (‘-1’ cluster) by HDBSCAN are assigned to the nearest cluster using k-nearest-neighbors (k=10) on the UMAP embedding. They receive a lower cluster_confidence score.</w:t>
            </w:r>
          </w:p>
        </w:tc>
        <w:tc>
          <w:tcPr>
            <w:tcW w:type="dxa" w:w="7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HDBSCAN noise assignment is a feature, not a bug — it identifies patients who are genuinely between phenotypes. But for clinical use, every patient needs a cluster assignment.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Fallback Algorithm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 HDBSCAN produces &lt;3 or &gt;10 clusters: fall back to k-means with k selected by silhouette score maximisation (test k=3 to 8). k-means is less sophisticated but more predictable.</w:t>
            </w:r>
          </w:p>
        </w:tc>
        <w:tc>
          <w:tcPr>
            <w:tcW w:type="dxa" w:w="7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Ensures clinically interpretable output even if the data doesn’t have clean density-based structure.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Expected Clusters</w:t>
            </w:r>
          </w:p>
        </w:tc>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4–7 clinically distinct phenotypes (see Section 4 for hypothesised clusters)</w:t>
            </w:r>
          </w:p>
        </w:tc>
        <w:tc>
          <w:tcPr>
            <w:tcW w:type="dxa" w:w="7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Based on Ahlqvist’s 5 diabetes subgroups + the hemodynamic dimension adds 1–2 more.</w:t>
            </w:r>
          </w:p>
        </w:tc>
      </w:tr>
    </w:tbl>
    <w:p>
      <w:r>
        <w:br w:type="page"/>
      </w:r>
    </w:p>
    <w:p>
      <w:pPr>
        <w:pStyle w:val="Heading1"/>
        <w:spacing w:after="200" w:before="360"/>
      </w:pPr>
      <w:r>
        <w:rPr>
          <w:rFonts w:ascii="Arial" w:cs="Arial" w:eastAsia="Arial" w:hAnsi="Arial"/>
          <w:b/>
          <w:bCs/>
          <w:color w:val="1B3A5C"/>
          <w:sz w:val="32"/>
          <w:szCs w:val="32"/>
        </w:rPr>
        <w:t xml:space="preserve">4. Hypothesised Phenotype Clusters</w:t>
      </w:r>
    </w:p>
    <w:p>
      <w:pPr>
        <w:spacing w:after="120" w:line="276"/>
      </w:pPr>
      <w:r>
        <w:rPr>
          <w:rFonts w:ascii="Arial" w:cs="Arial" w:eastAsia="Arial" w:hAnsi="Arial"/>
          <w:sz w:val="20"/>
          <w:szCs w:val="20"/>
        </w:rPr>
        <w:t xml:space="preserve">These are educated hypotheses based on: Ahlqvist 2018 subgroups (validated globally), INSPIRED study Indian data, South Asian metabolic literature, and the novel features (salt sensitivity, BP variability, meal-response) that Vaidshala uniquely captures. The actual clusters will emerge from data. The hypotheses guide initial clinical interpretation — if the algorithm produces clusters that map to these archetypes, we have clinical confidence. If it produces unexpected clusters, we investigate.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3800"/>
        <w:gridCol w:w="34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Cluster Archetype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Expected Profile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Differentiating Features</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Optimal Therapy Strategy</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Expected Prevalence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 High-Carb-Sensitive, Insulin-Resistant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Young-onset T2DM (age &lt;50), BMI 25–30, high waist-to-BMI ratio, high carb_sensitivity_slope, high mean_postmeal_excursion, HbA1c 7.5–9.0%, moderate BP. Salt-resistant.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carb_sensitivity_slope in top quartile. waist_to_bmi_ratio elevated. salt_sensitivity_beta &lt; 0.001.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DIETARY FIRST: aggressive carb reduction + SGLT2i (Pillar 2, addresses insulin resistance + weight). GLP-1RA (Pillar 3) if weight loss needed. Sodium reduction has LOW priority (salt-resistant). Meal-response-guided food substitution is high-value for this cluster.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25–35%</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B: Salt-Sensitive Hypertensive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Older (&gt;55), long diabetes duration, SBP 145+, HIGH salt_sensitivity_beta, morning surge elevated, ARV elevated. Moderate glycemic control (HbA1c 7.0–8.0). CKD stage 2–3a.</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salt_sensitivity_beta in top quartile. bp_arv elevated. morning_surge elevated. egfr_slope declining.</w:t>
            </w:r>
          </w:p>
        </w:tc>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SODIUM REDUCTION as primary lifestyle intervention (‘as effective as adding a medication’ for this cluster). RASi at max dose (Pillar 1) + SGLT2i (Pillar 2, renal + BP). Finerenone (Pillar 4) if albuminuria present. Evening antihypertensive dosing for morning surge.</w:t>
            </w:r>
          </w:p>
        </w:tc>
        <w:tc>
          <w:tcPr>
            <w:tcW w:type="dxa" w:w="3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15–25%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 Renal-Vulnerable Rapid Decliner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CKD stage 3a–3b, eGFR slope &lt; −5/yr, UACR &gt;100, on RASi but still albuminuric. Moderate glucose (HbA1c 7.0–8.0 — relaxed target per CKD guidelines). Potassium borderline (4.5–5.0).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egfr_slope in bottom quartile. uacr_latest in top quartile. potassium borderline.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NEPHROPROTECTIVE PRIORITY: accelerated four-pillar (RASi max + SGLT2i + finerenone simultaneously per ADA 2026). GLP-1RA if glycemic need. Relaxed HbA1c target (8.0). AVOID metformin if eGFR approaching 30. This cluster benefits most from the CONFIDENCE trial protocol (simultaneous SGLT2i + finerenone).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10–15%</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 Obesity-Driven Metabolic Syndrome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BMI ≥30 (or ≥27 South Asian), waist circumference very elevated. HbA1c 8.0–10.0. BP 140+. Triglycerides elevated. MASLD likely. Strong weight response to GLP-1RA if tried.</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bmi_at_enrollment in top quartile. glp1ra_weight_response strong (if available). hba1c high.</w:t>
            </w:r>
          </w:p>
        </w:tc>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WEIGHT LOSS as the upstream intervention: GLP-1RA/tirzepatide (Pillar 3) as FIRST-LINE (not after metformin failure — the ADA 2026 accelerated approach). Weight loss of 5–10% produces multi-domain improvement. SGLT2i (Pillar 2) as adjunct. Consider metabolic surgery referral if BMI &gt;35 and GLP-1RA insufficient.</w:t>
            </w:r>
          </w:p>
        </w:tc>
        <w:tc>
          <w:tcPr>
            <w:tcW w:type="dxa" w:w="3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15–25%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 Exercise Responder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Moderate obesity (BMI 27–30), sedentary baseline (&lt;4000 steps/day). Strong physiological response to activity: post-meal walking reduces excursion by &gt;30 mg/dL and SBP by &gt;5 mmHg in IOR data.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 exercise response magnitude in IOR data (activity interventions produce &gt;2x population-average glucose and BP improvement).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LIFESTYLE INTENSIFICATION before medication escalation. Post-meal walking protocol. Step target progression (4000 → 6000 → 8000). Delay Pillar 2/3 addition if lifestyle produces sufficient improvement. This cluster achieves the best outcomes with the least medication burden.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10–20%</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 Brittle Glycemic Phenotype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High glucose_cv (&gt;36%), frequent hypoglycemia despite moderate HbA1c (7.0–7.5%). On SU or insulin. Low beta-cell reserve (long diabetes duration &gt;15 yrs). Weight stable or declining (sarcopenic).</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glucose_cv top quartile. hypo_frequency elevated. diabetes_duration long.</w:t>
            </w:r>
          </w:p>
        </w:tc>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SAFETY-FIRST: deprescribe sulfonylurea (DEPRESC-1). Switch to DPP-4i or GLP-1RA (less hypo risk). Relaxed HbA1c target (7.5–8.0) to reduce hypo risk. This cluster needs LESS intensive glycemic control, not more. CGM monitoring essential (upgrade to Tier 1/2 if on Tier 3).</w:t>
            </w:r>
          </w:p>
        </w:tc>
        <w:tc>
          <w:tcPr>
            <w:tcW w:type="dxa" w:w="3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5–10%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 Well-Controlled Maintenance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HbA1c &lt;7.0, SBP &lt;130, eGFR &gt;60, BMI near target, MHRI &gt;70, engagement high, on ≥2 pillars.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metabolic features near-optimal. High engagement.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MAINTENANCE: no active titration needed. Monitor for medication burden (DEPRESC-1 review if stable for 12+ months). Annual phenotype reassignment check (patients can move OUT of this cluster if they deteriorate). Lowest correction loop urgency. Quarterly physician review.</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10–20%</w:t>
            </w:r>
          </w:p>
        </w:tc>
      </w:tr>
    </w:tbl>
    <w:p>
      <w:pPr>
        <w:pBdr>
          <w:left w:val="single" w:color="2E75B6" w:sz="6" w:space="8"/>
        </w:pBdr>
        <w:spacing w:after="120"/>
        <w:ind w:left="240"/>
      </w:pPr>
      <w:r>
        <w:rPr>
          <w:rFonts w:ascii="Arial" w:cs="Arial" w:eastAsia="Arial" w:hAnsi="Arial"/>
          <w:i/>
          <w:iCs/>
          <w:color w:val="555555"/>
          <w:sz w:val="20"/>
          <w:szCs w:val="20"/>
        </w:rPr>
        <w:t xml:space="preserve">These are HYPOTHESES. The clustering algorithm may produce 4 clusters, or 8, or clusters that don’t map cleanly to these archetypes. The clinical team reviews the emergent clusters, names them, validates them against IOR outcome data (‘do patients in this cluster actually respond differently to interventions?’), and THEN the cluster-to-therapy mapping is established. The hypotheses serve as an interpretability guide, not a forcing function.</w:t>
      </w:r>
    </w:p>
    <w:p>
      <w:r>
        <w:br w:type="page"/>
      </w:r>
    </w:p>
    <w:p>
      <w:pPr>
        <w:pStyle w:val="Heading1"/>
        <w:spacing w:after="200" w:before="360"/>
      </w:pPr>
      <w:r>
        <w:rPr>
          <w:rFonts w:ascii="Arial" w:cs="Arial" w:eastAsia="Arial" w:hAnsi="Arial"/>
          <w:b/>
          <w:bCs/>
          <w:color w:val="1B3A5C"/>
          <w:sz w:val="32"/>
          <w:szCs w:val="32"/>
        </w:rPr>
        <w:t xml:space="preserve">5. Cluster Validation</w:t>
      </w:r>
    </w:p>
    <w:p>
      <w:pPr>
        <w:spacing w:after="120" w:line="276"/>
      </w:pPr>
      <w:r>
        <w:rPr>
          <w:rFonts w:ascii="Arial" w:cs="Arial" w:eastAsia="Arial" w:hAnsi="Arial"/>
          <w:sz w:val="20"/>
          <w:szCs w:val="20"/>
        </w:rPr>
        <w:t xml:space="preserve">A clustering result is clinically useful only if it satisfies four criteria. The validation pipeline tests all four before the clusters are deployed for clinical use.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600"/>
        <w:gridCol w:w="4200"/>
        <w:gridCol w:w="38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How It’s Tested</w:t>
            </w:r>
          </w:p>
        </w:tc>
        <w:tc>
          <w:tcPr>
            <w:tcW w:type="dxa" w:w="3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Failure Means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Statistical Separation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Silhouette score on UMAP embedding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≥0.40 (moderate to strong separation)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Compute silhouette score for the cluster assignment. Test on held-out 20% of patients (not used in clustering).</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Score &lt;0.40: clusters overlap too much in feature space. May need: more features, different UMAP parameters, or fewer clusters.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2. Clinical Interpretability</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Clinical team can name and describe each cluster in ≤3 sentences</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100% of clusters have a clinical narrative</w:t>
            </w:r>
          </w:p>
        </w:tc>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Present cluster centroids (mean feature values per cluster) to the clinical committee. Ask: ‘Can you describe the typical patient in this cluster?’ If they can: pass. If they can’t: the cluster may be a statistical artefact.</w:t>
            </w:r>
          </w:p>
        </w:tc>
        <w:tc>
          <w:tcPr>
            <w:tcW w:type="dxa" w:w="3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Uninterpretable clusters are merged with their nearest neighbor or the clustering parameters are adjusted.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 Differential Treatment Response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IOR outcome differs significantly between clusters for the same intervention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For at least 2 drug classes: the IOR outcome distribution (FBG delta, SBP delta) differs between clusters with p &lt;0.05 (Mann-Whitney U or Kruskal-Wallis)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Query IOR store: for patients who received SGLT2i, does Cluster A’s FBG response differ from Cluster D’s? Requires ≥30 IOR records per cluster per drug class.</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 treatment response is identical across clusters: the clustering is not capturing therapeutically relevant heterogeneity. May need: treatment response features weighted higher, or different feature set.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4. Temporal Stability</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Cluster assignments are stable over 30 days for individual patients</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Adjusted Rand Index ≥0.85 between assignments at day 0 and day 30 (on the same patient cohort, re-clustered with 30 additional days of data)</w:t>
            </w:r>
          </w:p>
        </w:tc>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Re-run clustering after 30 days with updated feature vectors. Compare new vs old assignments per patient. If ARI &lt;0.85: clusters are unstable (driven by noise, not by persistent phenotype).</w:t>
            </w:r>
          </w:p>
        </w:tc>
        <w:tc>
          <w:tcPr>
            <w:tcW w:type="dxa" w:w="3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Unstable clusters may require: longer data windows (120 days instead of 90), more robust features, or temporal smoothing (use 90-day rolling averages rather than point-in-time values).</w:t>
            </w:r>
          </w:p>
        </w:tc>
      </w:tr>
    </w:tbl>
    <w:p>
      <w:r>
        <w:br w:type="page"/>
      </w:r>
    </w:p>
    <w:p>
      <w:pPr>
        <w:pStyle w:val="Heading1"/>
        <w:spacing w:after="200" w:before="360"/>
      </w:pPr>
      <w:r>
        <w:rPr>
          <w:rFonts w:ascii="Arial" w:cs="Arial" w:eastAsia="Arial" w:hAnsi="Arial"/>
          <w:b/>
          <w:bCs/>
          <w:color w:val="1B3A5C"/>
          <w:sz w:val="32"/>
          <w:szCs w:val="32"/>
        </w:rPr>
        <w:t xml:space="preserve">6. Phenotype-to-Therapy Mapping</w:t>
      </w:r>
    </w:p>
    <w:p>
      <w:pPr>
        <w:spacing w:after="120" w:line="276"/>
      </w:pPr>
      <w:r>
        <w:rPr>
          <w:rFonts w:ascii="Arial" w:cs="Arial" w:eastAsia="Arial" w:hAnsi="Arial"/>
          <w:sz w:val="20"/>
          <w:szCs w:val="20"/>
        </w:rPr>
        <w:t xml:space="preserve">Once clusters are validated, each cluster receives a THERAPY STRATEGY PROFILE that modulates the correction loop’s behaviour. This is NOT a per-cluster protocol — it’s a set of MODIFIERS applied on top of the existing GLYC-1/HTN-1/RENAL-1 protocols.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600"/>
        <w:gridCol w:w="44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Modifier</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Changes</w:t>
            </w:r>
          </w:p>
        </w:tc>
        <w:tc>
          <w:tcPr>
            <w:tcW w:type="dxa" w:w="4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How It’s Applied</w:t>
            </w:r>
          </w:p>
        </w:tc>
        <w:tc>
          <w:tcPr>
            <w:tcW w:type="dxa" w:w="4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pillar_priority_order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Which pillar to recommend first when multiple are indicated (Deep Dive #3, Section 4)</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Overrides the default sequencing for this phenotype. E.g., Cluster D (obesity-driven): Pillar 3 (GLP-1RA) before Pillar 2 (SGLT2i).</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Default: HF → P2, ASCVD → P3. Cluster D override: always P3 first for weight loss leverage.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lifestyle_before_medication_threshold</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How far from target the patient must be before medication escalation instead of lifestyle intervention</w:t>
            </w:r>
          </w:p>
        </w:tc>
        <w:tc>
          <w:tcPr>
            <w:tcW w:type="dxa" w:w="4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For Cluster E (exercise responders): widen the threshold. E.g., if HbA1c 7.5 (0.5% above target), try lifestyle intensification for 28 days before medication. For Cluster C (renal-vulnerable): narrow the threshold — medicate immediately.</w:t>
            </w:r>
          </w:p>
        </w:tc>
        <w:tc>
          <w:tcPr>
            <w:tcW w:type="dxa" w:w="4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Cluster E: lifestyle_threshold = 1.5% above HbA1c target. Cluster C: lifestyle_threshold = 0 (always medicate).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sodium_reduction_priority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Whether sodium reduction Decision Card fires at HIGH or LOW priority</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From salt_sensitivity_beta of the cluster centroid. If cluster centroid has high salt sensitivity: sodium reduction is PRIMARY intervention. If low: sodium reduction deprioritised.</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Cluster B: sodium_reduction_priority = HIGH. Cluster A: sodium_reduction_priority = LOW.</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glycemic_target_relaxation</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Whether the cluster warrants a relaxed HbA1c target</w:t>
            </w:r>
          </w:p>
        </w:tc>
        <w:tc>
          <w:tcPr>
            <w:tcW w:type="dxa" w:w="4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Cluster F (brittle): relaxed to 7.5–8.0 to reduce hypo risk. Cluster G (well-controlled): tighter target (6.5–7.0) to maintain excellent control.</w:t>
            </w:r>
          </w:p>
        </w:tc>
        <w:tc>
          <w:tcPr>
            <w:tcW w:type="dxa" w:w="4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clinicalParams.hba1c_target_default overridden at the phenotype level (the 4th tier in the configuration resolution hierarchy from Deep Dive #0).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medication_dose_adjustment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Starting dose for newly recommended medications</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 IOR data shows this cluster consistently needs half the standard starting dose (e.g., elderly CKD patients in Cluster C): recommend half-dose start in the Decision Card.</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Cluster C: empagliflozin start 5mg (not 10mg). Cluster D: semaglutide start 0.25mg with slower titration.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expected_response_ranges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The ‘similar patient’ insight ranges shown in Decision Cards (Deep Dive #5, Step 6)</w:t>
            </w:r>
          </w:p>
        </w:tc>
        <w:tc>
          <w:tcPr>
            <w:tcW w:type="dxa" w:w="4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Instead of population-wide averages, show CLUSTER-SPECIFIC averages from IOR data. ‘For patients like you: expected FBG reduction 22±8 mg/dL’ is more precise than ‘For all patients: 18±15 mg/dL.’</w:t>
            </w:r>
          </w:p>
        </w:tc>
        <w:tc>
          <w:tcPr>
            <w:tcW w:type="dxa" w:w="4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Cluster A + SGLT2i: FBG −22±8. Cluster D + GLP-1RA: HbA1c −1.4±0.5, weight −7±3 kg.</w:t>
            </w:r>
          </w:p>
        </w:tc>
      </w:tr>
    </w:tbl>
    <w:p>
      <w:pPr>
        <w:pBdr>
          <w:left w:val="single" w:color="C62828" w:sz="6" w:space="8"/>
        </w:pBdr>
        <w:spacing w:after="200" w:before="200"/>
        <w:ind w:left="240"/>
      </w:pPr>
      <w:r>
        <w:rPr>
          <w:rFonts w:ascii="Arial" w:cs="Arial" w:eastAsia="Arial" w:hAnsi="Arial"/>
          <w:b/>
          <w:bCs/>
          <w:color w:val="C62828"/>
          <w:sz w:val="20"/>
          <w:szCs w:val="20"/>
        </w:rPr>
        <w:t xml:space="preserve">DESIGN RULE: </w:t>
      </w:r>
      <w:r>
        <w:rPr>
          <w:rFonts w:ascii="Arial" w:cs="Arial" w:eastAsia="Arial" w:hAnsi="Arial"/>
          <w:sz w:val="20"/>
          <w:szCs w:val="20"/>
        </w:rPr>
        <w:t xml:space="preserve">Phenotype-to-therapy modifiers are stored in a phenotype_therapy_map.yaml configuration file. They are reviewed by the clinical committee before deployment. They are NOT learned autonomously. The clustering produces labels; the clinical team maps labels to therapy modifiers; the modifiers are deployed as YAML configuration. This is deterministic label-to-configuration mapping, not ML in the decision path.</w:t>
      </w:r>
    </w:p>
    <w:p>
      <w:r>
        <w:br w:type="page"/>
      </w:r>
    </w:p>
    <w:p>
      <w:pPr>
        <w:pStyle w:val="Heading1"/>
        <w:spacing w:after="200" w:before="360"/>
      </w:pPr>
      <w:r>
        <w:rPr>
          <w:rFonts w:ascii="Arial" w:cs="Arial" w:eastAsia="Arial" w:hAnsi="Arial"/>
          <w:b/>
          <w:bCs/>
          <w:color w:val="1B3A5C"/>
          <w:sz w:val="32"/>
          <w:szCs w:val="32"/>
        </w:rPr>
        <w:t xml:space="preserve">7. Phenotype Transfer to Australian Diaspora</w:t>
      </w:r>
    </w:p>
    <w:p>
      <w:pPr>
        <w:spacing w:after="120" w:line="276"/>
      </w:pPr>
      <w:r>
        <w:rPr>
          <w:rFonts w:ascii="Arial" w:cs="Arial" w:eastAsia="Arial" w:hAnsi="Arial"/>
          <w:sz w:val="20"/>
          <w:szCs w:val="20"/>
        </w:rPr>
        <w:t xml:space="preserve">The South Asian metabolic phenotype travels with the population. South Asian immigrants in Australia have the same genetic susceptibility (lower beta-cell reserve, visceral adiposity at lower BMI, insulin resistance) as South Asians in India. This means phenotype clusters discovered from Indian data are directly applicable to South Asian Australian patients — with calibration adjustments for the changed dietary and lifestyle context.</w:t>
      </w:r>
    </w:p>
    <w:p>
      <w:pPr>
        <w:pStyle w:val="Heading2"/>
        <w:spacing w:after="160" w:before="280"/>
      </w:pPr>
      <w:r>
        <w:rPr>
          <w:rFonts w:ascii="Arial" w:cs="Arial" w:eastAsia="Arial" w:hAnsi="Arial"/>
          <w:b/>
          <w:bCs/>
          <w:color w:val="2E75B6"/>
          <w:sz w:val="28"/>
          <w:szCs w:val="28"/>
        </w:rPr>
        <w:t xml:space="preserve">7.1 Transfer Methodology</w:t>
      </w:r>
    </w:p>
    <w:p>
      <w:pPr>
        <w:spacing w:after="80"/>
        <w:ind w:left="360"/>
      </w:pPr>
      <w:r>
        <w:rPr>
          <w:rFonts w:ascii="Arial" w:cs="Arial" w:eastAsia="Arial" w:hAnsi="Arial"/>
          <w:sz w:val="19"/>
          <w:szCs w:val="19"/>
        </w:rPr>
        <w:t xml:space="preserve">Step 1: Run clustering on the Indian deployment’s dataset (≥10,000 patients × 90 days). Produce validated cluster centroids (21-dimensional vectors in standardised feature space).</w:t>
      </w:r>
    </w:p>
    <w:p>
      <w:pPr>
        <w:spacing w:after="80"/>
        <w:ind w:left="360"/>
      </w:pPr>
      <w:r>
        <w:rPr>
          <w:rFonts w:ascii="Arial" w:cs="Arial" w:eastAsia="Arial" w:hAnsi="Arial"/>
          <w:sz w:val="19"/>
          <w:szCs w:val="19"/>
        </w:rPr>
        <w:t xml:space="preserve">Step 2: Export cluster centroids as a configuration file (phenotype_centroids.json). This file contains NO patient data — only statistical summaries (mean, SD of each feature per cluster). Data sovereignty is preserved.</w:t>
      </w:r>
    </w:p>
    <w:p>
      <w:pPr>
        <w:spacing w:after="80"/>
        <w:ind w:left="360"/>
      </w:pPr>
      <w:r>
        <w:rPr>
          <w:rFonts w:ascii="Arial" w:cs="Arial" w:eastAsia="Arial" w:hAnsi="Arial"/>
          <w:sz w:val="19"/>
          <w:szCs w:val="19"/>
        </w:rPr>
        <w:t xml:space="preserve">Step 3: Load phenotype_centroids.json into the Australian deployment’s KB-26 phenotype matcher.</w:t>
      </w:r>
    </w:p>
    <w:p>
      <w:pPr>
        <w:spacing w:after="80"/>
        <w:ind w:left="360"/>
      </w:pPr>
      <w:r>
        <w:rPr>
          <w:rFonts w:ascii="Arial" w:cs="Arial" w:eastAsia="Arial" w:hAnsi="Arial"/>
          <w:sz w:val="19"/>
          <w:szCs w:val="19"/>
        </w:rPr>
        <w:t xml:space="preserve">Step 4: For each Australian patient with ≥90 days of data: compute their 21-feature vector. Assign to the nearest Indian-derived cluster centroid (Euclidean distance in standardised feature space). Store assignment with cluster_origin = INDIA_TRANSFERRED and cluster_confidence = distance-based score.</w:t>
      </w:r>
    </w:p>
    <w:p>
      <w:pPr>
        <w:spacing w:after="80"/>
        <w:ind w:left="360"/>
      </w:pPr>
      <w:r>
        <w:rPr>
          <w:rFonts w:ascii="Arial" w:cs="Arial" w:eastAsia="Arial" w:hAnsi="Arial"/>
          <w:sz w:val="19"/>
          <w:szCs w:val="19"/>
        </w:rPr>
        <w:t xml:space="preserve">Step 5: VALIDATION: Compare transferred cluster assignments against Australian IOR data. If South Asian Australian patients in Cluster B show the same salt-sensitivity pattern and treatment response as Indian Cluster B patients — transfer is validated. If response profiles differ significantly: Australian-specific reclustering is needed (requires ≥10,000 Australian patients).</w:t>
      </w:r>
    </w:p>
    <w:p>
      <w:pPr>
        <w:spacing w:after="80"/>
        <w:ind w:left="360"/>
      </w:pPr>
      <w:r>
        <w:rPr>
          <w:rFonts w:ascii="Arial" w:cs="Arial" w:eastAsia="Arial" w:hAnsi="Arial"/>
          <w:sz w:val="19"/>
          <w:szCs w:val="19"/>
        </w:rPr>
        <w:t xml:space="preserve">Step 6: For non-South-Asian Australian patients (European, East Asian, Indigenous): Indian-derived clusters may not apply. These patients receive DEFAULT phenotype assignment until sufficient Australian-specific data accumulates for independent clustering.</w:t>
      </w:r>
    </w:p>
    <w:p>
      <w:pPr>
        <w:pBdr>
          <w:left w:val="single" w:color="FF8F00" w:sz="6" w:space="8"/>
        </w:pBdr>
        <w:spacing w:after="120"/>
        <w:ind w:left="240"/>
      </w:pPr>
      <w:r>
        <w:rPr>
          <w:rFonts w:ascii="Arial" w:cs="Arial" w:eastAsia="Arial" w:hAnsi="Arial"/>
          <w:b/>
          <w:bCs/>
          <w:color w:val="FF8F00"/>
          <w:sz w:val="20"/>
          <w:szCs w:val="20"/>
        </w:rPr>
        <w:t xml:space="preserve">MARKET SHIM: </w:t>
      </w:r>
      <w:r>
        <w:rPr>
          <w:rFonts w:ascii="Arial" w:cs="Arial" w:eastAsia="Arial" w:hAnsi="Arial"/>
          <w:sz w:val="20"/>
          <w:szCs w:val="20"/>
        </w:rPr>
        <w:t xml:space="preserve">Phenotype centroid export is a governed process requiring clinical committee approval. The centroids file is a market shim configuration artefact stored in deploy/markets/australia/phenotype_centroids.json. It is versioned and updated quarterly when Indian clusters are recalibrated.</w:t>
      </w:r>
    </w:p>
    <w:p>
      <w:r>
        <w:br w:type="page"/>
      </w:r>
    </w:p>
    <w:p>
      <w:pPr>
        <w:pStyle w:val="Heading1"/>
        <w:spacing w:after="200" w:before="360"/>
      </w:pPr>
      <w:r>
        <w:rPr>
          <w:rFonts w:ascii="Arial" w:cs="Arial" w:eastAsia="Arial" w:hAnsi="Arial"/>
          <w:b/>
          <w:bCs/>
          <w:color w:val="1B3A5C"/>
          <w:sz w:val="32"/>
          <w:szCs w:val="32"/>
        </w:rPr>
        <w:t xml:space="preserve">8. Batch Pipeline Architecture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00"/>
        <w:gridCol w:w="1128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11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Pipeline Name</w:t>
            </w:r>
          </w:p>
        </w:tc>
        <w:tc>
          <w:tcPr>
            <w:tcW w:type="dxa" w:w="11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phenotype-clustering-pipeline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Runtime</w:t>
            </w:r>
          </w:p>
        </w:tc>
        <w:tc>
          <w:tcPr>
            <w:tcW w:type="dxa" w:w="11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Kubernetes batch job. Python (scikit-learn, umap-learn, hdbscan). NOT Flink — this is offline batch ML.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Schedule</w:t>
            </w:r>
          </w:p>
        </w:tc>
        <w:tc>
          <w:tcPr>
            <w:tcW w:type="dxa" w:w="11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Quarterly (every 90 days). Also triggered on-demand when patient population grows &gt;20% since last run.</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Input</w:t>
            </w:r>
          </w:p>
        </w:tc>
        <w:tc>
          <w:tcPr>
            <w:tcW w:type="dxa" w:w="11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KB-20 PostgreSQL: all patients with ≥90 days of longitudinal data. IOR store: treatment response features.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Output</w:t>
            </w:r>
          </w:p>
        </w:tc>
        <w:tc>
          <w:tcPr>
            <w:tcW w:type="dxa" w:w="11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KB-20: patient.phenotype_cluster field updated. phenotype_centroids.json exported. phenotype_report.pdf generated for clinical committee review.</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Compute Requirements</w:t>
            </w:r>
          </w:p>
        </w:tc>
        <w:tc>
          <w:tcPr>
            <w:tcW w:type="dxa" w:w="11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10K patients: &lt;30 minutes on 4-core 16GB pod. 100K patients: &lt;4 hours on 16-core 64GB pod. UMAP is the bottleneck.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Data Residency</w:t>
            </w:r>
          </w:p>
        </w:tc>
        <w:tc>
          <w:tcPr>
            <w:tcW w:type="dxa" w:w="11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Runs entirely within the market’s AWS region. No cross-region data transfer. Centroid export is the only cross-market artefact.</w:t>
            </w:r>
          </w:p>
        </w:tc>
      </w:tr>
    </w:tbl>
    <w:p>
      <w:pPr>
        <w:pStyle w:val="Heading2"/>
        <w:spacing w:after="160" w:before="280"/>
      </w:pPr>
      <w:r>
        <w:rPr>
          <w:rFonts w:ascii="Arial" w:cs="Arial" w:eastAsia="Arial" w:hAnsi="Arial"/>
          <w:b/>
          <w:bCs/>
          <w:color w:val="2E75B6"/>
          <w:sz w:val="28"/>
          <w:szCs w:val="28"/>
        </w:rPr>
        <w:t xml:space="preserve">8.1 Processing Steps</w:t>
      </w:r>
    </w:p>
    <w:p>
      <w:pPr>
        <w:spacing w:after="80"/>
        <w:ind w:left="360"/>
      </w:pPr>
      <w:r>
        <w:rPr>
          <w:rFonts w:ascii="Arial" w:cs="Arial" w:eastAsia="Arial" w:hAnsi="Arial"/>
          <w:sz w:val="19"/>
          <w:szCs w:val="19"/>
        </w:rPr>
        <w:t xml:space="preserve">Step 1: EXTRACT — Query KB-20 for all patients with ≥90 days. Compute the 21-feature vector per patient. Null imputation for missing features.</w:t>
      </w:r>
    </w:p>
    <w:p>
      <w:pPr>
        <w:spacing w:after="80"/>
        <w:ind w:left="360"/>
      </w:pPr>
      <w:r>
        <w:rPr>
          <w:rFonts w:ascii="Arial" w:cs="Arial" w:eastAsia="Arial" w:hAnsi="Arial"/>
          <w:sz w:val="19"/>
          <w:szCs w:val="19"/>
        </w:rPr>
        <w:t xml:space="preserve">Step 2: STANDARDISE — Z-score normalisation of all features. Store the mean and SD per feature (needed for assigning new patients to existing clusters between quarterly runs).</w:t>
      </w:r>
    </w:p>
    <w:p>
      <w:pPr>
        <w:spacing w:after="80"/>
        <w:ind w:left="360"/>
      </w:pPr>
      <w:r>
        <w:rPr>
          <w:rFonts w:ascii="Arial" w:cs="Arial" w:eastAsia="Arial" w:hAnsi="Arial"/>
          <w:sz w:val="19"/>
          <w:szCs w:val="19"/>
        </w:rPr>
        <w:t xml:space="preserve">Step 3: REDUCE — UMAP dimensionality reduction to 2D embedding. Run with 5 random seeds. Select the seed with highest average silhouette score.</w:t>
      </w:r>
    </w:p>
    <w:p>
      <w:pPr>
        <w:spacing w:after="80"/>
        <w:ind w:left="360"/>
      </w:pPr>
      <w:r>
        <w:rPr>
          <w:rFonts w:ascii="Arial" w:cs="Arial" w:eastAsia="Arial" w:hAnsi="Arial"/>
          <w:sz w:val="19"/>
          <w:szCs w:val="19"/>
        </w:rPr>
        <w:t xml:space="preserve">Step 4: CLUSTER — HDBSCAN on 2D embedding. Assign noise points to nearest cluster via KNN. Record cluster_confidence per patient.</w:t>
      </w:r>
    </w:p>
    <w:p>
      <w:pPr>
        <w:spacing w:after="80"/>
        <w:ind w:left="360"/>
      </w:pPr>
      <w:r>
        <w:rPr>
          <w:rFonts w:ascii="Arial" w:cs="Arial" w:eastAsia="Arial" w:hAnsi="Arial"/>
          <w:sz w:val="19"/>
          <w:szCs w:val="19"/>
        </w:rPr>
        <w:t xml:space="preserve">Step 5: VALIDATE — Run all 4 validation criteria from Section 5. If any criterion fails: alert clinical team, do NOT deploy new clusters, retain previous clustering.</w:t>
      </w:r>
    </w:p>
    <w:p>
      <w:pPr>
        <w:spacing w:after="80"/>
        <w:ind w:left="360"/>
      </w:pPr>
      <w:r>
        <w:rPr>
          <w:rFonts w:ascii="Arial" w:cs="Arial" w:eastAsia="Arial" w:hAnsi="Arial"/>
          <w:sz w:val="19"/>
          <w:szCs w:val="19"/>
        </w:rPr>
        <w:t xml:space="preserve">Step 6: PROFILE — Compute cluster centroids (mean + SD of each feature per cluster). Compute IOR outcome profiles per cluster per drug class. Generate phenotype_report.pdf with: cluster sizes, centroid values, treatment response differences, and proposed therapy modifier updates.</w:t>
      </w:r>
    </w:p>
    <w:p>
      <w:pPr>
        <w:spacing w:after="80"/>
        <w:ind w:left="360"/>
      </w:pPr>
      <w:r>
        <w:rPr>
          <w:rFonts w:ascii="Arial" w:cs="Arial" w:eastAsia="Arial" w:hAnsi="Arial"/>
          <w:sz w:val="19"/>
          <w:szCs w:val="19"/>
        </w:rPr>
        <w:t xml:space="preserve">Step 7: REVIEW — Clinical committee reviews phenotype_report. Approves or requests adjustments. Names new clusters if the composition has changed from the previous quarter.</w:t>
      </w:r>
    </w:p>
    <w:p>
      <w:pPr>
        <w:spacing w:after="80"/>
        <w:ind w:left="360"/>
      </w:pPr>
      <w:r>
        <w:rPr>
          <w:rFonts w:ascii="Arial" w:cs="Arial" w:eastAsia="Arial" w:hAnsi="Arial"/>
          <w:sz w:val="19"/>
          <w:szCs w:val="19"/>
        </w:rPr>
        <w:t xml:space="preserve">Step 8: DEPLOY — Update KB-20 with new patient.phenotype_cluster assignments. Update phenotype_therapy_map.yaml with any clinical committee-approved modifier changes. Export phenotype_centroids.json for cross-market transfer.</w:t>
      </w:r>
    </w:p>
    <w:p>
      <w:pPr>
        <w:spacing w:after="80"/>
        <w:ind w:left="360"/>
      </w:pPr>
      <w:r>
        <w:rPr>
          <w:rFonts w:ascii="Arial" w:cs="Arial" w:eastAsia="Arial" w:hAnsi="Arial"/>
          <w:sz w:val="19"/>
          <w:szCs w:val="19"/>
        </w:rPr>
        <w:t xml:space="preserve">Step 9: INTER-QUARTERLY ASSIGNMENT — New patients who accumulate 90 days of data between quarterly runs are assigned to the nearest existing cluster centroid (no re-clustering needed). Assignment uses the standardisation parameters and centroids from the most recent quarterly run.</w:t>
      </w:r>
    </w:p>
    <w:p>
      <w:r>
        <w:br w:type="page"/>
      </w:r>
    </w:p>
    <w:p>
      <w:pPr>
        <w:pStyle w:val="Heading1"/>
        <w:spacing w:after="200" w:before="360"/>
      </w:pPr>
      <w:r>
        <w:rPr>
          <w:rFonts w:ascii="Arial" w:cs="Arial" w:eastAsia="Arial" w:hAnsi="Arial"/>
          <w:b/>
          <w:bCs/>
          <w:color w:val="1B3A5C"/>
          <w:sz w:val="32"/>
          <w:szCs w:val="32"/>
        </w:rPr>
        <w:t xml:space="preserve">9. Implementation Plan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600"/>
        <w:gridCol w:w="448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6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4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A: Feature Engineering Pipeline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Month 6–7</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21-feature extraction from KB-20 + IOR store. Null imputation strategy. Z-score standardisation. Feature quality report (distribution, missingness rates, correlation matrix).</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≥10,000 patients with ≥90 days of data. IOR store with sufficient treatment response data (Deep Dive #4, Phase D).</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Phase B: Clustering Algorithm</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Month 7–8</w:t>
            </w:r>
          </w:p>
        </w:tc>
        <w:tc>
          <w:tcPr>
            <w:tcW w:type="dxa" w:w="6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UMAP + HDBSCAN pipeline in Python. Multi-seed stability testing. Silhouette score evaluation. Fallback to k-means if HDBSCAN underperforms. Initial clustering run.</w:t>
            </w:r>
          </w:p>
        </w:tc>
        <w:tc>
          <w:tcPr>
            <w:tcW w:type="dxa" w:w="4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Feature extraction pipeline (Phase A). Compute infrastructure (Kubernetes batch pod with GPU optional for UMAP acceleration).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C: Clinical Validation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Month 8–9</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Validation against 4 criteria (Section 5). Clinical committee review of emergent clusters. Cluster naming and clinical description. Differential treatment response analysis from IOR data.</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Clustering output (Phase B). Clinical committee availability. Sufficient IOR data per cluster per drug class (≥30 records).</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Phase D: Therapy Mapping + Deployment</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Month 9–10</w:t>
            </w:r>
          </w:p>
        </w:tc>
        <w:tc>
          <w:tcPr>
            <w:tcW w:type="dxa" w:w="6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phenotype_therapy_map.yaml with clinical committee-approved modifiers. KB-20 phenotype_cluster field populated for all qualifying patients. Decision Card ‘similar patient’ insights stratified by cluster. Inter-quarterly assignment logic for new patients.</w:t>
            </w:r>
          </w:p>
        </w:tc>
        <w:tc>
          <w:tcPr>
            <w:tcW w:type="dxa" w:w="4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Clinical committee approval. KB-23 card builder updated to use cluster-specific IOR queries (Deep Dive #5, Step 6).</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E: Cross-Market Transfer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Month 10–12</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phenotype_centroids.json export. Loading into Australian deployment. Transfer validation against Australian IOR data for South Asian patients. DEFAULT assignment for non-South-Asian Australian patients.</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Australian deployment running with ≥90 days of patient data (may not be available until Month 12+). Governed export approval.</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Phase F: Ongoing Recalibration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Quarterly</w:t>
            </w:r>
          </w:p>
        </w:tc>
        <w:tc>
          <w:tcPr>
            <w:tcW w:type="dxa" w:w="6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Re-run clustering pipeline every 90 days. Update cluster assignments. Re-validate against new IOR data. Update therapy modifiers if treatment response profiles shift. Detect cluster drift (new patients shifting the composition of existing clusters).</w:t>
            </w:r>
          </w:p>
        </w:tc>
        <w:tc>
          <w:tcPr>
            <w:tcW w:type="dxa" w:w="4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Continuous IOR data accumulation. Quarterly clinical committee review cycle.</w:t>
            </w:r>
          </w:p>
        </w:tc>
      </w:tr>
    </w:tbl>
    <w:p>
      <w:pPr>
        <w:spacing w:before="400"/>
      </w:pPr>
      <w:r>
        <w:rPr>
          <w:rFonts w:ascii="Arial" w:cs="Arial" w:eastAsia="Arial" w:hAnsi="Arial"/>
          <w:b/>
          <w:bCs/>
          <w:sz w:val="20"/>
          <w:szCs w:val="20"/>
        </w:rPr>
        <w:t xml:space="preserve">Phenotype clustering transforms Vaidshala from a reactive correction loop into a proactive precision medicine platform. </w:t>
      </w:r>
      <w:r>
        <w:rPr>
          <w:rFonts w:ascii="Arial" w:cs="Arial" w:eastAsia="Arial" w:hAnsi="Arial"/>
          <w:sz w:val="20"/>
          <w:szCs w:val="20"/>
        </w:rPr>
        <w:t xml:space="preserve">Instead of treating every patient with the same protocol and discovering what works through trial and error, the system says: ‘You are in Cluster B. Patients like you respond best to sodium reduction + RASi + SGLT2i with evening dosing. Here are the outcomes 47 patients like you achieved.’ That’s the difference between population medicine and precision cardiometabolic care.</w:t>
      </w:r>
    </w:p>
    <w:p>
      <w:pPr>
        <w:spacing w:before="200"/>
      </w:pPr>
      <w:r>
        <w:rPr>
          <w:rFonts w:ascii="Arial" w:cs="Arial" w:eastAsia="Arial" w:hAnsi="Arial"/>
          <w:i/>
          <w:iCs/>
          <w:color w:val="888888"/>
          <w:sz w:val="20"/>
          <w:szCs w:val="20"/>
        </w:rPr>
        <w:t xml:space="preserve">End of Deep Dive #9: Population Phenotype Clustering</w:t>
      </w:r>
    </w:p>
    <w:sectPr>
      <w:headerReference w:type="default" r:id="rId7"/>
      <w:footerReference w:type="default" r:id="rId8"/>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pPr>
    <w:r>
      <w:rPr>
        <w:rFonts w:ascii="Arial" w:cs="Arial" w:eastAsia="Arial" w:hAnsi="Arial"/>
        <w:color w:val="888888"/>
        <w:sz w:val="16"/>
        <w:szCs w:val="16"/>
      </w:rPr>
      <w:t xml:space="preserve">VAIDSHALA v4  |  Deep Dive #9: Population Phenotype Clustering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2026-03-26T05:37:21.446Z</dcterms:created>
  <dcterms:modified xsi:type="dcterms:W3CDTF">2026-03-26T05:37:21.447Z</dcterms:modified>
</cp:coreProperties>
</file>

<file path=docProps/custom.xml><?xml version="1.0" encoding="utf-8"?>
<Properties xmlns="http://schemas.openxmlformats.org/officeDocument/2006/custom-properties" xmlns:vt="http://schemas.openxmlformats.org/officeDocument/2006/docPropsVTypes"/>
</file>