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B3A5C"/>
          <w:sz w:val="44"/>
          <w:szCs w:val="44"/>
        </w:rPr>
        <w:t xml:space="preserve">VAIDSHALA V4 — Flink Processing Architecture</w:t>
      </w:r>
    </w:p>
    <w:p>
      <w:pPr>
        <w:spacing w:after="80"/>
      </w:pPr>
      <w:r>
        <w:rPr>
          <w:rFonts w:ascii="Arial" w:cs="Arial" w:eastAsia="Arial" w:hAnsi="Arial"/>
          <w:color w:val="2E75B6"/>
          <w:sz w:val="28"/>
          <w:szCs w:val="28"/>
        </w:rPr>
        <w:t xml:space="preserve">Version 3.0 | April 2026 | As-Built Architecture</w:t>
      </w:r>
    </w:p>
    <w:p>
      <w:pPr>
        <w:spacing w:after="200"/>
      </w:pPr>
      <w:r>
        <w:rPr>
          <w:rFonts w:ascii="Arial" w:cs="Arial" w:eastAsia="Arial" w:hAnsi="Arial"/>
          <w:i/>
          <w:iCs/>
          <w:color w:val="666666"/>
          <w:sz w:val="20"/>
          <w:szCs w:val="20"/>
        </w:rPr>
        <w:t xml:space="preserve">13 Modules • 16 Flink Jobs • 38 Kafka Topics • Post-Module 12 Implementation • Module 13 In Design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600"/>
        <w:gridCol w:w="428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v2.1 (March 2026)</w:t>
            </w:r>
          </w:p>
        </w:tc>
        <w:tc>
          <w:tcPr>
            <w:tcW w:type="dxa" w:w="3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v3.0 (April 2026)</w:t>
            </w:r>
          </w:p>
        </w:tc>
        <w:tc>
          <w:tcPr>
            <w:tcW w:type="dxa" w:w="4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Change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Flink Modules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 (Modules 1–11)</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 (Modules 1–13)</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(Module 12/12b, Module 13)</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Flink Jobs</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Not tracked</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16 (including 10b, 11b, 12b)</w:t>
            </w:r>
          </w:p>
        </w:tc>
        <w:tc>
          <w:tcPr>
            <w:tcW w:type="dxa" w:w="4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New metric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Kafka Topics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38+</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new topics</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Unit Tests (Modules 7–12)</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Not tracked</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252+ (7:31, 8:22, 9:18, 10:24, 11:30, 12:38, 11b:24, 10b:27, 12b:38)</w:t>
            </w:r>
          </w:p>
        </w:tc>
        <w:tc>
          <w:tcPr>
            <w:tcW w:type="dxa" w:w="4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New metric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Engineering Rules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+Rule 8 (adapter deserializer)</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Module 11 Definition</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Intervention Window Monitor</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Activity Response Correlator</w:t>
            </w:r>
          </w:p>
        </w:tc>
        <w:tc>
          <w:tcPr>
            <w:tcW w:type="dxa" w:w="4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Renumbered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 12 Definition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Did not exist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Intervention Window Monitor (ex-Module 11)</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Module 13 Definition</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Did not exist</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Clinical State Synchroniser</w:t>
            </w:r>
          </w:p>
        </w:tc>
        <w:tc>
          <w:tcPr>
            <w:tcW w:type="dxa" w:w="4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New</w:t>
            </w:r>
          </w:p>
        </w:tc>
      </w:tr>
    </w:tbl>
    <w:p>
      <w:r>
        <w:br w:type="page"/>
      </w:r>
    </w:p>
    <w:p>
      <w:pPr>
        <w:pStyle w:val="Heading1"/>
        <w:spacing w:after="200" w:before="360"/>
      </w:pPr>
      <w:r>
        <w:rPr>
          <w:rFonts w:ascii="Arial" w:cs="Arial" w:eastAsia="Arial" w:hAnsi="Arial"/>
          <w:b/>
          <w:bCs/>
          <w:color w:val="1B3A5C"/>
          <w:sz w:val="32"/>
          <w:szCs w:val="32"/>
        </w:rPr>
        <w:t xml:space="preserve">1. Architecture Principles (8 Engineering Rules)</w:t>
      </w:r>
    </w:p>
    <w:p>
      <w:pPr>
        <w:spacing w:after="120" w:line="276"/>
      </w:pPr>
      <w:r>
        <w:rPr>
          <w:rFonts w:ascii="Arial" w:cs="Arial" w:eastAsia="Arial" w:hAnsi="Arial"/>
          <w:sz w:val="20"/>
          <w:szCs w:val="20"/>
        </w:rPr>
        <w:t xml:space="preserve">Rules 1–7 are unchanged from v2.1. Rule 8 is new, discovered during Module 12b implementation.</w:t>
      </w:r>
    </w:p>
    <w:p>
      <w:pPr>
        <w:pStyle w:val="Heading2"/>
        <w:spacing w:after="160" w:before="280"/>
      </w:pPr>
      <w:r>
        <w:rPr>
          <w:rFonts w:ascii="Arial" w:cs="Arial" w:eastAsia="Arial" w:hAnsi="Arial"/>
          <w:b/>
          <w:bCs/>
          <w:color w:val="2E75B6"/>
          <w:sz w:val="28"/>
          <w:szCs w:val="28"/>
        </w:rPr>
        <w:t xml:space="preserve">Rule 8 — Union of heterogeneous topics requires adapter deserializers (NEW)</w:t>
      </w:r>
    </w:p>
    <w:p>
      <w:pPr>
        <w:spacing w:after="120" w:line="276"/>
      </w:pPr>
      <w:r>
        <w:rPr>
          <w:rFonts w:ascii="Arial" w:cs="Arial" w:eastAsia="Arial" w:hAnsi="Arial"/>
          <w:sz w:val="20"/>
          <w:szCs w:val="20"/>
        </w:rPr>
        <w:t xml:space="preserve">When two Kafka topics carry different payload types (e.g., InterventionWindowSignal and CanonicalEvent) but must be unioned into a single Flink stream, the consumer must use a topic-specific deserializer that wraps the raw JSON into the common envelope type’s payload map. Using CanonicalEventDeserializer on a non-CanonicalEvent topic silently discards all type-specific fields via @JsonIgnoreProperties(ignoreUnknown = true). The adapter pattern: parse as generic Map&lt;String, Object&gt;, wrap into CanonicalEvent’s payload field, inject source_module discriminator from the topic name.</w:t>
      </w:r>
    </w:p>
    <w:p>
      <w:pPr>
        <w:pBdr>
          <w:left w:val="single" w:color="2E75B6" w:sz="12" w:space="8"/>
        </w:pBdr>
        <w:spacing w:after="200" w:before="200"/>
        <w:ind w:left="400"/>
      </w:pPr>
      <w:r>
        <w:rPr>
          <w:rFonts w:ascii="Arial" w:cs="Arial" w:eastAsia="Arial" w:hAnsi="Arial"/>
          <w:i/>
          <w:iCs/>
          <w:color w:val="555555"/>
          <w:sz w:val="20"/>
          <w:szCs w:val="20"/>
        </w:rPr>
        <w:t xml:space="preserve">Origin: Module 12b consumed clinical.intervention-window-signals through CanonicalEventDeserializer. Every InterventionWindowSignal field (signal_type, intervention_id, etc.) was silently discarded. All WINDOW_CLOSED signals were routed to updateCurrentValues() instead of computing deltas — a silent production failure. Fixed by creating InterventionSignalToCanonicalDeserializer. Module 13 generalises this into a reusable JsonToCanonicalEventDeserializer parameterised by source topic name.</w:t>
      </w:r>
    </w:p>
    <w:p>
      <w:r>
        <w:br w:type="page"/>
      </w:r>
    </w:p>
    <w:p>
      <w:pPr>
        <w:pStyle w:val="Heading1"/>
        <w:spacing w:after="200" w:before="360"/>
      </w:pPr>
      <w:r>
        <w:rPr>
          <w:rFonts w:ascii="Arial" w:cs="Arial" w:eastAsia="Arial" w:hAnsi="Arial"/>
          <w:b/>
          <w:bCs/>
          <w:color w:val="1B3A5C"/>
          <w:sz w:val="32"/>
          <w:szCs w:val="32"/>
        </w:rPr>
        <w:t xml:space="preserve">2. Complete Module Registry (13 Modules, 16 Flink Jobs)</w:t>
      </w:r>
    </w:p>
    <w:p>
      <w:pPr>
        <w:pStyle w:val="Heading2"/>
        <w:spacing w:after="160" w:before="280"/>
      </w:pPr>
      <w:r>
        <w:rPr>
          <w:rFonts w:ascii="Arial" w:cs="Arial" w:eastAsia="Arial" w:hAnsi="Arial"/>
          <w:b/>
          <w:bCs/>
          <w:color w:val="2E75B6"/>
          <w:sz w:val="28"/>
          <w:szCs w:val="28"/>
        </w:rPr>
        <w:t xml:space="preserve">2.1 Core Pipeline — Modules 1–6 (E2E Validated)</w:t>
      </w:r>
    </w:p>
    <w:tbl>
      <w:tblPr>
        <w:tblW w:type="dxa" w:w="1140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4200"/>
        <w:gridCol w:w="1800"/>
        <w:gridCol w:w="800"/>
      </w:tblGrid>
      <w:tr>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3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4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Operator Pattern</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Tests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1/1b</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Ingestion &amp; Gateway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FlatMapFunction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E2E PASS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Enhanced Context Assembly</w:t>
            </w:r>
          </w:p>
        </w:tc>
        <w:tc>
          <w:tcPr>
            <w:tcW w:type="dxa" w:w="4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RichAsyncFunction + KPF</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E2E PASS</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Comprehensive CDS (8-Phase)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KeyedBroadcastProcessFunction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E2E PASS (8/8)</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4</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Pattern Detection (CEP + Analytics)</w:t>
            </w:r>
          </w:p>
        </w:tc>
        <w:tc>
          <w:tcPr>
            <w:tcW w:type="dxa" w:w="4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ProcessFunction + CEP + WindowFunction</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E2E PASS</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96</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ML Inference Engine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KeyedCoProcessFunction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Implementation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36</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6</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Clinical Action &amp; Distribution</w:t>
            </w:r>
          </w:p>
        </w:tc>
        <w:tc>
          <w:tcPr>
            <w:tcW w:type="dxa" w:w="4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KeyedProcessFunction + 6 async sinks</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Designed</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t>
            </w:r>
          </w:p>
        </w:tc>
      </w:tr>
    </w:tbl>
    <w:p>
      <w:pPr>
        <w:pStyle w:val="Heading2"/>
        <w:spacing w:after="160" w:before="280"/>
      </w:pPr>
      <w:r>
        <w:rPr>
          <w:rFonts w:ascii="Arial" w:cs="Arial" w:eastAsia="Arial" w:hAnsi="Arial"/>
          <w:b/>
          <w:bCs/>
          <w:color w:val="2E75B6"/>
          <w:sz w:val="28"/>
          <w:szCs w:val="28"/>
        </w:rPr>
        <w:t xml:space="preserve">2.2 Domain-Specific Modules — Modules 7–13 (V4)</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800"/>
        <w:gridCol w:w="2800"/>
        <w:gridCol w:w="2000"/>
        <w:gridCol w:w="600"/>
        <w:gridCol w:w="328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3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Flink Jobs</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Operator Pattern</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Tests</w:t>
            </w:r>
          </w:p>
        </w:tc>
        <w:tc>
          <w:tcPr>
            <w:tcW w:type="dxa" w:w="3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Kafka Output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BP Variability Engine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Sliding window (7d+30d)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flink.bp-variability-metrics</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8</w:t>
            </w:r>
          </w:p>
        </w:tc>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Comorbidity Interaction Detector</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Event-driven KPF</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COMPLETE</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22</w:t>
            </w:r>
          </w:p>
        </w:tc>
        <w:tc>
          <w:tcPr>
            <w:tcW w:type="dxa" w:w="3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alerts.comorbidity-interactions, ingestion.safety-critical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Engagement Monitor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Rolling 14d window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flink.engagement-signals, alerts.engagement-drop</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10/10b</w:t>
            </w:r>
          </w:p>
        </w:tc>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Meal Response Correlator + Aggregator</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Session window + 7d tumbling</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COMPLETE</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51</w:t>
            </w:r>
          </w:p>
        </w:tc>
        <w:tc>
          <w:tcPr>
            <w:tcW w:type="dxa" w:w="3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flink.meal-response, flink.meal-patterns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11/11b</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Activity Response Correlator + Fitness Aggregator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window + 7d tumbling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54</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flink.activity-response, flink.fitness-patterns</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12/12b</w:t>
            </w:r>
          </w:p>
        </w:tc>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Intervention Window Monitor + Delta Computer</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Timer-driven KPF + event-driven KPF</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COMPLETE (38 tests)</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38</w:t>
            </w:r>
          </w:p>
        </w:tc>
        <w:tc>
          <w:tcPr>
            <w:tcW w:type="dxa" w:w="3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clinical.intervention-window-signals, flink.intervention-deltas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Clinical State Synchroniser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Fan-in KPF + async DB sink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 DESIGN (37 tests planned)</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37*</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clinical.state-change-events + KB-20 async write</w:t>
            </w:r>
          </w:p>
        </w:tc>
      </w:tr>
    </w:tbl>
    <w:p>
      <w:pPr>
        <w:spacing w:after="120" w:line="276"/>
      </w:pPr>
      <w:r>
        <w:rPr>
          <w:rFonts w:ascii="Arial" w:cs="Arial" w:eastAsia="Arial" w:hAnsi="Arial"/>
          <w:sz w:val="20"/>
          <w:szCs w:val="20"/>
        </w:rPr>
        <w:t xml:space="preserve">* Module 13 test count is planned, not yet implemented. Total Flink jobs: 16 (6 core + 10 domain-specific including b-variants).</w:t>
      </w:r>
    </w:p>
    <w:p>
      <w:pPr>
        <w:pStyle w:val="Heading2"/>
        <w:spacing w:after="160" w:before="280"/>
      </w:pPr>
      <w:r>
        <w:rPr>
          <w:rFonts w:ascii="Arial" w:cs="Arial" w:eastAsia="Arial" w:hAnsi="Arial"/>
          <w:b/>
          <w:bCs/>
          <w:color w:val="2E75B6"/>
          <w:sz w:val="28"/>
          <w:szCs w:val="28"/>
        </w:rPr>
        <w:t xml:space="preserve">2.3 Module Renumbering History</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1800"/>
        <w:gridCol w:w="3600"/>
        <w:gridCol w:w="328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v2.1 Module #</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v2.1 Name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v3.0 Module #</w:t>
            </w:r>
          </w:p>
        </w:tc>
        <w:tc>
          <w:tcPr>
            <w:tcW w:type="dxa" w:w="3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v3.0 Name</w:t>
            </w:r>
          </w:p>
        </w:tc>
        <w:tc>
          <w:tcPr>
            <w:tcW w:type="dxa" w:w="3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Intervention Window Monitor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(+ 12b)</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Intervention Window Monitor + Delta Computer</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 11 slot repurposed for Activity Response Correlator</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Did not exist</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11 (+ 11b)</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Activity Response Correlator + Fitness Pattern Aggregator</w:t>
            </w:r>
          </w:p>
        </w:tc>
        <w:tc>
          <w:tcPr>
            <w:tcW w:type="dxa" w:w="3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Mirrors Module 10 pattern for exercise domain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Did not exist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Clinical State Synchroniser</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Streaming bridge to KB-20 (fan-in from all domain modules)</w:t>
            </w:r>
          </w:p>
        </w:tc>
      </w:tr>
    </w:tbl>
    <w:p>
      <w:r>
        <w:br w:type="page"/>
      </w:r>
    </w:p>
    <w:p>
      <w:pPr>
        <w:pStyle w:val="Heading1"/>
        <w:spacing w:after="200" w:before="360"/>
      </w:pPr>
      <w:r>
        <w:rPr>
          <w:rFonts w:ascii="Arial" w:cs="Arial" w:eastAsia="Arial" w:hAnsi="Arial"/>
          <w:b/>
          <w:bCs/>
          <w:color w:val="1B3A5C"/>
          <w:sz w:val="32"/>
          <w:szCs w:val="32"/>
        </w:rPr>
        <w:t xml:space="preserve">3. Module 13: Clinical State Synchroniser (New)</w:t>
      </w:r>
    </w:p>
    <w:p>
      <w:pPr>
        <w:spacing w:after="120" w:line="276"/>
      </w:pPr>
      <w:r>
        <w:rPr>
          <w:rFonts w:ascii="Arial" w:cs="Arial" w:eastAsia="Arial" w:hAnsi="Arial"/>
          <w:sz w:val="20"/>
          <w:szCs w:val="20"/>
        </w:rPr>
        <w:t xml:space="preserve">Module 13 closes the architectural gap between the Flink processing layer and the KB-20 Patient State Engine. Without it, KB-23 Decision Cards are generated from stale state — the KB-20 snapshot from the last V-MCU RunCycle, not the current streaming reality.</w:t>
      </w:r>
    </w:p>
    <w:p>
      <w:pPr>
        <w:pStyle w:val="Heading2"/>
        <w:spacing w:after="160" w:before="280"/>
      </w:pPr>
      <w:r>
        <w:rPr>
          <w:rFonts w:ascii="Arial" w:cs="Arial" w:eastAsia="Arial" w:hAnsi="Arial"/>
          <w:b/>
          <w:bCs/>
          <w:color w:val="2E75B6"/>
          <w:sz w:val="28"/>
          <w:szCs w:val="28"/>
        </w:rPr>
        <w:t xml:space="preserve">3.1 Three Functions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400"/>
        <w:gridCol w:w="7600"/>
        <w:gridCol w:w="368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7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State Materialisation</w:t>
            </w:r>
          </w:p>
        </w:tc>
        <w:tc>
          <w:tcPr>
            <w:tcW w:type="dxa" w:w="7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Writes streaming signals from Modules 7–12b into KB-20 PostgreSQL + Redis projections in near-real-time (5-second coalescing window)</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KB20StateUpdate → async sink</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CKM Risk Velocity</w:t>
            </w:r>
          </w:p>
        </w:tc>
        <w:tc>
          <w:tcPr>
            <w:tcW w:type="dxa" w:w="7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Fuses signals from all domain modules into a 3-domain (metabolic, renal, cardiovascular) composite risk velocity per AHA CKM framework (Ndumele et al., Circulation 2023)</w:t>
            </w:r>
          </w:p>
        </w:tc>
        <w:tc>
          <w:tcPr>
            <w:tcW w:type="dxa" w:w="3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CKMRiskVelocity stored in KB-20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State Change Detection</w:t>
            </w:r>
          </w:p>
        </w:tc>
        <w:tc>
          <w:tcPr>
            <w:tcW w:type="dxa" w:w="7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Detects 12 types of clinically significant state transitions and emits events that trigger real-time KB-23 Decision Card generation between scheduled RunCycles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ClinicalStateChangeEvent → clinical.state-change-events</w:t>
            </w:r>
          </w:p>
        </w:tc>
      </w:tr>
    </w:tbl>
    <w:p>
      <w:pPr>
        <w:pStyle w:val="Heading2"/>
        <w:spacing w:after="160" w:before="280"/>
      </w:pPr>
      <w:r>
        <w:rPr>
          <w:rFonts w:ascii="Arial" w:cs="Arial" w:eastAsia="Arial" w:hAnsi="Arial"/>
          <w:b/>
          <w:bCs/>
          <w:color w:val="2E75B6"/>
          <w:sz w:val="28"/>
          <w:szCs w:val="28"/>
        </w:rPr>
        <w:t xml:space="preserve">3.2 Consumer Relationship Change</w:t>
      </w:r>
    </w:p>
    <w:p>
      <w:pPr>
        <w:spacing w:after="120" w:line="276"/>
      </w:pPr>
      <w:r>
        <w:rPr>
          <w:rFonts w:ascii="Arial" w:cs="Arial" w:eastAsia="Arial" w:hAnsi="Arial"/>
          <w:sz w:val="20"/>
          <w:szCs w:val="20"/>
        </w:rPr>
        <w:t xml:space="preserve">With Module 13 in place, KB-20 no longer independently consumes domain-specific Kafka topics. Module 13 becomes the SINGLE streaming writer to KB-20. This eliminates write conflicts and ensures all streaming state is fused before materialisation.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3200"/>
        <w:gridCol w:w="4280"/>
      </w:tblGrid>
      <w:tr>
        <w:tc>
          <w:tcPr>
            <w:tcW w:type="dxa" w:w="3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v2.1 Consumers</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v3.0 Consumers</w:t>
            </w:r>
          </w:p>
        </w:tc>
        <w:tc>
          <w:tcPr>
            <w:tcW w:type="dxa" w:w="4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Change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flink.bp-variability-metrics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KB-20, KB-26, KB-23, V-MCU RunCycle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 13</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 consumers replaced by Module 13 fan-in</w:t>
            </w:r>
          </w:p>
        </w:tc>
      </w:tr>
      <w:tr>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flink.engagement-signals</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KB-20, KB-26, KB-21</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Module 13</w:t>
            </w:r>
          </w:p>
        </w:tc>
        <w:tc>
          <w:tcPr>
            <w:tcW w:type="dxa" w:w="4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Direct consumers replaced</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flink.meal-patterns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KB-21, KB-26, phenotype-clustering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 13</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 consumers replaced</w:t>
            </w:r>
          </w:p>
        </w:tc>
      </w:tr>
      <w:tr>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flink.fitness-patterns</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(not in v2.1)</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Module 13</w:t>
            </w:r>
          </w:p>
        </w:tc>
        <w:tc>
          <w:tcPr>
            <w:tcW w:type="dxa" w:w="4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New topic</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clinical.intervention-window-signals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IOR generator, KB-20, coaching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 13 + IOR generator + coaching</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 13 added; IOR generator and coaching engine retain direct consumption for their specific needs</w:t>
            </w:r>
          </w:p>
        </w:tc>
      </w:tr>
      <w:tr>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flink.intervention-deltas</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(not in v2.1)</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Module 13</w:t>
            </w:r>
          </w:p>
        </w:tc>
        <w:tc>
          <w:tcPr>
            <w:tcW w:type="dxa" w:w="4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New topic</w:t>
            </w:r>
          </w:p>
        </w:tc>
      </w:tr>
    </w:tbl>
    <w:p>
      <w:pPr>
        <w:pBdr>
          <w:left w:val="single" w:color="2E75B6" w:sz="12" w:space="8"/>
        </w:pBdr>
        <w:spacing w:after="200" w:before="200"/>
        <w:ind w:left="400"/>
      </w:pPr>
      <w:r>
        <w:rPr>
          <w:rFonts w:ascii="Arial" w:cs="Arial" w:eastAsia="Arial" w:hAnsi="Arial"/>
          <w:i/>
          <w:iCs/>
          <w:color w:val="555555"/>
          <w:sz w:val="20"/>
          <w:szCs w:val="20"/>
        </w:rPr>
        <w:t xml:space="preserve">KB-23, KB-26, and V-MCU RunCycle now read from KB-20 (which is kept current by Module 13) rather than consuming raw Kafka topics directly. This means they always see fused, risk-scored state rather than individual domain signals. The IOR Generator batch job retains direct consumption of clinical.intervention-window-signals because it needs the full signal payload for outcome record assembly, not the summarised version Module 13 writes to KB-20.</w:t>
      </w:r>
    </w:p>
    <w:p>
      <w:r>
        <w:br w:type="page"/>
      </w:r>
    </w:p>
    <w:p>
      <w:pPr>
        <w:pStyle w:val="Heading1"/>
        <w:spacing w:after="200" w:before="360"/>
      </w:pPr>
      <w:r>
        <w:rPr>
          <w:rFonts w:ascii="Arial" w:cs="Arial" w:eastAsia="Arial" w:hAnsi="Arial"/>
          <w:b/>
          <w:bCs/>
          <w:color w:val="1B3A5C"/>
          <w:sz w:val="32"/>
          <w:szCs w:val="32"/>
        </w:rPr>
        <w:t xml:space="preserve">4. Kafka Topic Registry (38+ Topics)</w:t>
      </w:r>
    </w:p>
    <w:p>
      <w:pPr>
        <w:pStyle w:val="Heading2"/>
        <w:spacing w:after="160" w:before="280"/>
      </w:pPr>
      <w:r>
        <w:rPr>
          <w:rFonts w:ascii="Arial" w:cs="Arial" w:eastAsia="Arial" w:hAnsi="Arial"/>
          <w:b/>
          <w:bCs/>
          <w:color w:val="2E75B6"/>
          <w:sz w:val="28"/>
          <w:szCs w:val="28"/>
        </w:rPr>
        <w:t xml:space="preserve">4.1 New Topics (v3.0 additions)</w:t>
      </w:r>
    </w:p>
    <w:tbl>
      <w:tblPr>
        <w:tblW w:type="dxa" w:w="1160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600"/>
        <w:gridCol w:w="1200"/>
        <w:gridCol w:w="1000"/>
      </w:tblGrid>
      <w:tr>
        <w:tc>
          <w:tcPr>
            <w:tcW w:type="dxa" w:w="3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Producer</w:t>
            </w:r>
          </w:p>
        </w:tc>
        <w:tc>
          <w:tcPr>
            <w:tcW w:type="dxa" w:w="3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Consumer</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Partitions</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Retention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flink.activity-response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 11</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 11b, KB-26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30d</w:t>
            </w:r>
          </w:p>
        </w:tc>
      </w:tr>
      <w:tr>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flink.fitness-patterns</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Module 11b</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Module 13</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4</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90d</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flink.intervention-deltas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 12b</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 13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90d</w:t>
            </w:r>
          </w:p>
        </w:tc>
      </w:tr>
      <w:tr>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clinical.state-change-events</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Module 13</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KB-23 (real-time cards), BCE, physician dashboard</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4</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90d</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alerts.relapse-risk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 9 (Enhancement 6, side output)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KB-23, BCE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90d</w:t>
            </w:r>
          </w:p>
        </w:tc>
      </w:tr>
    </w:tbl>
    <w:p>
      <w:pPr>
        <w:pStyle w:val="Heading2"/>
        <w:spacing w:after="160" w:before="280"/>
      </w:pPr>
      <w:r>
        <w:rPr>
          <w:rFonts w:ascii="Arial" w:cs="Arial" w:eastAsia="Arial" w:hAnsi="Arial"/>
          <w:b/>
          <w:bCs/>
          <w:color w:val="2E75B6"/>
          <w:sz w:val="28"/>
          <w:szCs w:val="28"/>
        </w:rPr>
        <w:t xml:space="preserve">4.2 Modified Consumer Relationships</w:t>
      </w:r>
    </w:p>
    <w:p>
      <w:pPr>
        <w:spacing w:after="120" w:line="276"/>
      </w:pPr>
      <w:r>
        <w:rPr>
          <w:rFonts w:ascii="Arial" w:cs="Arial" w:eastAsia="Arial" w:hAnsi="Arial"/>
          <w:sz w:val="20"/>
          <w:szCs w:val="20"/>
        </w:rPr>
        <w:t xml:space="preserve">All domain-specific output topics (flink.bp-variability-metrics, flink.engagement-signals, flink.meal-patterns, clinical.intervention-window-signals) now route through Module 13 as primary consumer. KB-20, KB-23, KB-26 read from KB-20’s materialised state instead of raw topics.</w:t>
      </w:r>
    </w:p>
    <w:p>
      <w:r>
        <w:br w:type="page"/>
      </w:r>
    </w:p>
    <w:p>
      <w:pPr>
        <w:pStyle w:val="Heading1"/>
        <w:spacing w:after="200" w:before="360"/>
      </w:pPr>
      <w:r>
        <w:rPr>
          <w:rFonts w:ascii="Arial" w:cs="Arial" w:eastAsia="Arial" w:hAnsi="Arial"/>
          <w:b/>
          <w:bCs/>
          <w:color w:val="1B3A5C"/>
          <w:sz w:val="32"/>
          <w:szCs w:val="32"/>
        </w:rPr>
        <w:t xml:space="preserve">5. State TTL Registry (Complete)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400"/>
        <w:gridCol w:w="2000"/>
        <w:gridCol w:w="568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3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State Type</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TTL</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Update Policy</w:t>
            </w:r>
          </w:p>
        </w:tc>
        <w:tc>
          <w:tcPr>
            <w:tcW w:type="dxa" w:w="5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PatientContextState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days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OnReadAndWrite</w:t>
            </w:r>
          </w:p>
        </w:tc>
        <w:tc>
          <w:tcPr>
            <w:tcW w:type="dxa" w:w="5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Acute/subacute monitoring</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4</w:t>
            </w:r>
          </w:p>
        </w:tc>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Dedup state</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 minutes</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OnReadAndWrite</w:t>
            </w:r>
          </w:p>
        </w:tc>
        <w:tc>
          <w:tcPr>
            <w:tcW w:type="dxa" w:w="5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Pattern suppression window</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PatientMLState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days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OnReadAndWrite</w:t>
            </w:r>
          </w:p>
        </w:tc>
        <w:tc>
          <w:tcPr>
            <w:tcW w:type="dxa" w:w="5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Temporal features (ring buffers)</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6</w:t>
            </w:r>
          </w:p>
        </w:tc>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PatientActionState</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24 hours</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OnReadAndWrite</w:t>
            </w:r>
          </w:p>
        </w:tc>
        <w:tc>
          <w:tcPr>
            <w:tcW w:type="dxa" w:w="5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Action dedup + batching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BP readings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 days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OnReadAndWrite</w:t>
            </w:r>
          </w:p>
        </w:tc>
        <w:tc>
          <w:tcPr>
            <w:tcW w:type="dxa" w:w="5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 variability + edge-case protection</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8</w:t>
            </w:r>
          </w:p>
        </w:tc>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ComorbidityState</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30 days</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OnReadAndWrite</w:t>
            </w:r>
          </w:p>
        </w:tc>
        <w:tc>
          <w:tcPr>
            <w:tcW w:type="dxa" w:w="5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Medication interaction window</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EngagementState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 days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OnReadAndWrite</w:t>
            </w:r>
          </w:p>
        </w:tc>
        <w:tc>
          <w:tcPr>
            <w:tcW w:type="dxa" w:w="5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Rolling engagement window</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10/10b</w:t>
            </w:r>
          </w:p>
        </w:tc>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MealCorrelation + AggregationState</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90 days</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OnReadAndWrite</w:t>
            </w:r>
          </w:p>
        </w:tc>
        <w:tc>
          <w:tcPr>
            <w:tcW w:type="dxa" w:w="5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Longitudinal meal response history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11/11b</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ActivityCorrelation + FitnessAggregation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90 days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OnReadAndWrite</w:t>
            </w:r>
          </w:p>
        </w:tc>
        <w:tc>
          <w:tcPr>
            <w:tcW w:type="dxa" w:w="5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Longitudinal exercise response history</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12/12b</w:t>
            </w:r>
          </w:p>
        </w:tc>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InterventionWindowState + BaselineState</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90 days</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OnReadAndWrite</w:t>
            </w:r>
          </w:p>
        </w:tc>
        <w:tc>
          <w:tcPr>
            <w:tcW w:type="dxa" w:w="5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Longest observation window (28d) + reconciliation buffer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ClinicalStateSummary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90 days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OnReadAndWrite</w:t>
            </w:r>
          </w:p>
        </w:tc>
        <w:tc>
          <w:tcPr>
            <w:tcW w:type="dxa" w:w="5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Matches upstream module TTLs</w:t>
            </w:r>
          </w:p>
        </w:tc>
      </w:tr>
    </w:tbl>
    <w:p>
      <w:pPr>
        <w:spacing w:after="120" w:line="276"/>
      </w:pPr>
      <w:r>
        <w:rPr>
          <w:rFonts w:ascii="Arial" w:cs="Arial" w:eastAsia="Arial" w:hAnsi="Arial"/>
          <w:sz w:val="20"/>
          <w:szCs w:val="20"/>
        </w:rPr>
        <w:t xml:space="preserve">All modules use NeverReturnExpired. First event after state expiry produces contextDepth: INITIAL metadata.</w:t>
      </w:r>
    </w:p>
    <w:p>
      <w:r>
        <w:br w:type="page"/>
      </w:r>
    </w:p>
    <w:p>
      <w:pPr>
        <w:pStyle w:val="Heading1"/>
        <w:spacing w:after="200" w:before="360"/>
      </w:pPr>
      <w:r>
        <w:rPr>
          <w:rFonts w:ascii="Arial" w:cs="Arial" w:eastAsia="Arial" w:hAnsi="Arial"/>
          <w:b/>
          <w:bCs/>
          <w:color w:val="1B3A5C"/>
          <w:sz w:val="32"/>
          <w:szCs w:val="32"/>
        </w:rPr>
        <w:t xml:space="preserve">6. Enhancement &amp; Addition Integration Map (As-Built)</w:t>
      </w:r>
    </w:p>
    <w:p>
      <w:pPr>
        <w:spacing w:after="120" w:line="276"/>
      </w:pPr>
      <w:r>
        <w:rPr>
          <w:rFonts w:ascii="Arial" w:cs="Arial" w:eastAsia="Arial" w:hAnsi="Arial"/>
          <w:sz w:val="20"/>
          <w:szCs w:val="20"/>
        </w:rPr>
        <w:t xml:space="preserve">All 12 items (7 enhancements + 5 additions) extend existing modules or live in KB services. None create new Flink modules. Module count remains 13.</w:t>
      </w:r>
    </w:p>
    <w:p>
      <w:pPr>
        <w:pStyle w:val="Heading2"/>
        <w:spacing w:after="160" w:before="280"/>
      </w:pPr>
      <w:r>
        <w:rPr>
          <w:rFonts w:ascii="Arial" w:cs="Arial" w:eastAsia="Arial" w:hAnsi="Arial"/>
          <w:b/>
          <w:bCs/>
          <w:color w:val="2E75B6"/>
          <w:sz w:val="28"/>
          <w:szCs w:val="28"/>
        </w:rPr>
        <w:t xml:space="preserve">6.1 Flink Module Extensions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788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Target Module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Change Type</w:t>
            </w:r>
          </w:p>
        </w:tc>
        <w:tc>
          <w:tcPr>
            <w:tcW w:type="dxa" w:w="78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E1 Sleep Quality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 13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Field addition</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sleepAdequacy to metabolic velocity: poor sleep amplifies insulin resistance (−0.04/unit IS coupling). 2-line formula change in computeMetabolicVelocity().</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E2 Mental Health (PHQ-2)</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Module 13</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Confidence modifier</w:t>
            </w:r>
          </w:p>
        </w:tc>
        <w:tc>
          <w:tcPr>
            <w:tcW w:type="dxa" w:w="7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Attenuate confidence_score by 0.7x for HIGH distress, 0.85x for MODERATE. Add phq2_distress to ClinicalStateSummary.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E5 Complication Risk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 13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Field addition</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 UKPDS/KFRE risk scores from KB-20 into CKM cardiovascular velocity. Amplify CV velocity when 10y CVD risk &gt;20%.</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E6 Relapse Prediction</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Module 9 + Module 13</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Module 9 extension + Module 13 new input</w:t>
            </w:r>
          </w:p>
        </w:tc>
        <w:tc>
          <w:tcPr>
            <w:tcW w:type="dxa" w:w="7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Module 9: add 5 trajectory slope features + relapse risk composite + alerts.relapse-risk side output. Module 13: consume alerts.relapse-risk as 8th input, factor into engagement velocity.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A1 Personalized Targets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 13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Baseline replacement</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Replace hardcoded BASELINE_FBG=130 with patient’s personalizedFBGTarget from KB-20. Solves CKMRiskComputer Issue 1 from Module 13 review.</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A2 DYN Guardrails</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Module 8</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Rule addition</w:t>
            </w:r>
          </w:p>
        </w:tc>
        <w:tc>
          <w:tcPr>
            <w:tcW w:type="dxa" w:w="7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Add 8 DYN rules (medication-lifestyle guardrails) to existing CID rule set. New output fields on alerts.comorbidity-interactions.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A3 Meal Timing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 10/10b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Field addition</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 10: extract meal timestamp, classify EARLY/NORMAL/LATE/VERY_LATE. Module 10b: add weekly meal timing pattern + meal-timing-to-FBG correlation.</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A4 Socioeconomic</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Module 5</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Feature addition</w:t>
            </w:r>
          </w:p>
        </w:tc>
        <w:tc>
          <w:tcPr>
            <w:tcW w:type="dxa" w:w="7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Add socioeconomic_tier as categorical feature in ML feature vector.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CTO-CMO Issue 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 13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Algorithm change</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measurement_confidence per observation. CKMRiskComputer uses weighted least squares instead of unweighted deltas.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CTO-CMO Issue 8</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Module 13 + KB-8</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Field addition + new calculator</w:t>
            </w:r>
          </w:p>
        </w:tc>
        <w:tc>
          <w:tcPr>
            <w:tcW w:type="dxa" w:w="7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KB-8: add GMI as Calculator #12. Module 13: when measured HbA1c and GMI diverge &gt;0.3%, add gmi_fbg_divergence metadata to state change events.</w:t>
            </w:r>
          </w:p>
        </w:tc>
      </w:tr>
    </w:tbl>
    <w:p>
      <w:pPr>
        <w:pStyle w:val="Heading2"/>
        <w:spacing w:after="160" w:before="280"/>
      </w:pPr>
      <w:r>
        <w:rPr>
          <w:rFonts w:ascii="Arial" w:cs="Arial" w:eastAsia="Arial" w:hAnsi="Arial"/>
          <w:b/>
          <w:bCs/>
          <w:color w:val="2E75B6"/>
          <w:sz w:val="28"/>
          <w:szCs w:val="28"/>
        </w:rPr>
        <w:t xml:space="preserve">6.2 Non-Flink Work (KB Services, Presentation, Governance)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800"/>
        <w:gridCol w:w="5600"/>
        <w:gridCol w:w="528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5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Where It Lives</w:t>
            </w:r>
          </w:p>
        </w:tc>
        <w:tc>
          <w:tcPr>
            <w:tcW w:type="dxa" w:w="5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Flink Impact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E1 Sleep Quality (core)</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KB-26: sleep as 7th coupled variable in simulation equations</w:t>
            </w:r>
          </w:p>
        </w:tc>
        <w:tc>
          <w:tcPr>
            <w:tcW w:type="dxa" w:w="5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(Module 13 reads result from KB-20)</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E2 Mental Health (core)</w:t>
            </w:r>
          </w:p>
        </w:tc>
        <w:tc>
          <w:tcPr>
            <w:tcW w:type="dxa" w:w="5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KB-26 attenuation factor + KB-23 safety routing</w:t>
            </w:r>
          </w:p>
        </w:tc>
        <w:tc>
          <w:tcPr>
            <w:tcW w:type="dxa" w:w="5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None (Module 13 reads PHQ-2 from KB-20)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E3 Metabolic Mapping Phase</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KB-26 mechanism classification + KB-23 first Decision Card</w:t>
            </w:r>
          </w:p>
        </w:tc>
        <w:tc>
          <w:tcPr>
            <w:tcW w:type="dxa" w:w="5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 12: uses existing MONITORING_CHANGE window type</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E4 Patient Visualization</w:t>
            </w:r>
          </w:p>
        </w:tc>
        <w:tc>
          <w:tcPr>
            <w:tcW w:type="dxa" w:w="5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Tier-1 presentation layer (WhatsApp)</w:t>
            </w:r>
          </w:p>
        </w:tc>
        <w:tc>
          <w:tcPr>
            <w:tcW w:type="dxa" w:w="5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E5 Complication Risk (core)</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KB-8 calculators (UKPDS, KFRE, Framingham) + KB-26 risk profile API</w:t>
            </w:r>
          </w:p>
        </w:tc>
        <w:tc>
          <w:tcPr>
            <w:tcW w:type="dxa" w:w="5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(Module 13 reads scores from KB-20)</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E7 Caregiver Channel</w:t>
            </w:r>
          </w:p>
        </w:tc>
        <w:tc>
          <w:tcPr>
            <w:tcW w:type="dxa" w:w="5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BCE + notification service + KB-20 consent</w:t>
            </w:r>
          </w:p>
        </w:tc>
        <w:tc>
          <w:tcPr>
            <w:tcW w:type="dxa" w:w="5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A4 Socioeconomic (core)</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KB-25 recommendation stratification + KB-23 cost annotations</w:t>
            </w:r>
          </w:p>
        </w:tc>
        <w:tc>
          <w:tcPr>
            <w:tcW w:type="dxa" w:w="5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 5: one feature</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A5 Practice Benchmarking</w:t>
            </w:r>
          </w:p>
        </w:tc>
        <w:tc>
          <w:tcPr>
            <w:tcW w:type="dxa" w:w="5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Kubernetes CronJob (batch analytics)</w:t>
            </w:r>
          </w:p>
        </w:tc>
        <w:tc>
          <w:tcPr>
            <w:tcW w:type="dxa" w:w="5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None (consumes Module 6 audit topic)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CTO-CMO Issue 1</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Clinical validation protocol (SPIRIT guidelines)</w:t>
            </w:r>
          </w:p>
        </w:tc>
        <w:tc>
          <w:tcPr>
            <w:tcW w:type="dxa" w:w="5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(governance)</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CTO-CMO Issue 3</w:t>
            </w:r>
          </w:p>
        </w:tc>
        <w:tc>
          <w:tcPr>
            <w:tcW w:type="dxa" w:w="5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Physician workflow design (structured interviews)</w:t>
            </w:r>
          </w:p>
        </w:tc>
        <w:tc>
          <w:tcPr>
            <w:tcW w:type="dxa" w:w="5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None (UX research)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CTO-CMO Issue 7</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Tiered consent model in KB-20</w:t>
            </w:r>
          </w:p>
        </w:tc>
        <w:tc>
          <w:tcPr>
            <w:tcW w:type="dxa" w:w="5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(governance)</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CTO-CMO Issue 9</w:t>
            </w:r>
          </w:p>
        </w:tc>
        <w:tc>
          <w:tcPr>
            <w:tcW w:type="dxa" w:w="5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ABDM/My Health Record integration module</w:t>
            </w:r>
          </w:p>
        </w:tc>
        <w:tc>
          <w:tcPr>
            <w:tcW w:type="dxa" w:w="5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None (interoperability layer)</w:t>
            </w:r>
          </w:p>
        </w:tc>
      </w:tr>
    </w:tbl>
    <w:p>
      <w:r>
        <w:br w:type="page"/>
      </w:r>
    </w:p>
    <w:p>
      <w:pPr>
        <w:pStyle w:val="Heading1"/>
        <w:spacing w:after="200" w:before="360"/>
      </w:pPr>
      <w:r>
        <w:rPr>
          <w:rFonts w:ascii="Arial" w:cs="Arial" w:eastAsia="Arial" w:hAnsi="Arial"/>
          <w:b/>
          <w:bCs/>
          <w:color w:val="1B3A5C"/>
          <w:sz w:val="32"/>
          <w:szCs w:val="32"/>
        </w:rPr>
        <w:t xml:space="preserve">7. Gap Registry (Updated)</w:t>
      </w:r>
    </w:p>
    <w:p>
      <w:pPr>
        <w:pStyle w:val="Heading2"/>
        <w:spacing w:after="160" w:before="280"/>
      </w:pPr>
      <w:r>
        <w:rPr>
          <w:rFonts w:ascii="Arial" w:cs="Arial" w:eastAsia="Arial" w:hAnsi="Arial"/>
          <w:b/>
          <w:bCs/>
          <w:color w:val="2E75B6"/>
          <w:sz w:val="28"/>
          <w:szCs w:val="28"/>
        </w:rPr>
        <w:t xml:space="preserve">7.1 Gaps Resolved by Implementation</w:t>
      </w:r>
    </w:p>
    <w:tbl>
      <w:tblPr>
        <w:tblW w:type="dxa" w:w="1160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5600"/>
        <w:gridCol w:w="120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Gap ID</w:t>
            </w:r>
          </w:p>
        </w:tc>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5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CKM Stage Computation (no ComputeCKMStage function)</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 13 CKMRiskComputer computes 3-domain CKM velocity + composite classification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 DESIGN</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G3</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IOR confounder capture fields missing</w:t>
            </w:r>
          </w:p>
        </w:tc>
        <w:tc>
          <w:tcPr>
            <w:tcW w:type="dxa" w:w="5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Module 12 ConfounderAccumulator implements 7 confounder categories</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COMPLETE</w:t>
            </w:r>
          </w:p>
        </w:tc>
      </w:tr>
    </w:tbl>
    <w:p>
      <w:pPr>
        <w:pStyle w:val="Heading2"/>
        <w:spacing w:after="160" w:before="280"/>
      </w:pPr>
      <w:r>
        <w:rPr>
          <w:rFonts w:ascii="Arial" w:cs="Arial" w:eastAsia="Arial" w:hAnsi="Arial"/>
          <w:b/>
          <w:bCs/>
          <w:color w:val="2E75B6"/>
          <w:sz w:val="28"/>
          <w:szCs w:val="28"/>
        </w:rPr>
        <w:t xml:space="preserve">7.2 New Gaps Identified</w:t>
      </w:r>
    </w:p>
    <w:tbl>
      <w:tblPr>
        <w:tblW w:type="dxa" w:w="11600"/>
        <w:tblBorders>
          <w:top w:val="single" w:color="auto" w:sz="4"/>
          <w:left w:val="single" w:color="auto" w:sz="4"/>
          <w:bottom w:val="single" w:color="auto" w:sz="4"/>
          <w:right w:val="single" w:color="auto" w:sz="4"/>
          <w:insideH w:val="single" w:color="auto" w:sz="4"/>
          <w:insideV w:val="single" w:color="auto" w:sz="4"/>
        </w:tblBorders>
      </w:tblPr>
      <w:tblGrid>
        <w:gridCol w:w="600"/>
        <w:gridCol w:w="5400"/>
        <w:gridCol w:w="1800"/>
        <w:gridCol w:w="1800"/>
        <w:gridCol w:w="200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Gap ID</w:t>
            </w:r>
          </w:p>
        </w:tc>
        <w:tc>
          <w:tcPr>
            <w:tcW w:type="dxa" w:w="5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When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G7</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KB-19 → Module 12 commit ordering: verify clinical.intervention-events is published AFTER KB-19 commits, not when physician clicks APPROVE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4h investigation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Before pilot</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G8</w:t>
            </w:r>
          </w:p>
        </w:tc>
        <w:tc>
          <w:tcPr>
            <w:tcW w:type="dxa" w:w="5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Module 13 source_module discriminator: upstream modules don’t emit source_module field. Need generic JsonToCanonicalEventDeserializer per topic</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CRITICAL (compile-time)</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8h</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Module 13 Task 13</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G9</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 13 CKMRiskComputer uses static baselines not temporal deltas: computes displacement not velocity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(clinical correctness)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week redesign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 13 Task 7</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G10</w:t>
            </w:r>
          </w:p>
        </w:tc>
        <w:tc>
          <w:tcPr>
            <w:tcW w:type="dxa" w:w="5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Direct KB-20 consumers of domain topics create write conflicts with Module 13. Must deprecate direct consumers when Module 13 deploys</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MEDIUM</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4h per consumer</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Module 13 deployment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G11</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 8 output not consumed by Module 13: CID HALT/PAUSE alerts invisible to CKM risk velocity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 13 extension</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G12</w:t>
            </w:r>
          </w:p>
        </w:tc>
        <w:tc>
          <w:tcPr>
            <w:tcW w:type="dxa" w:w="5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measurement_confidence per observation not implemented (CTO-CMO Issue 4): all observations treated as equally precise regardless of source</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MEDIUM</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 week (KB-20 + Module 13)</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Pre-pilot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G13</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GMI Calculator not in KB-8 (CTO-CMO Issue 8): Day 63 HbA1c lag creates unnecessary medication escalation risk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days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Pre-pilot</w:t>
            </w:r>
          </w:p>
        </w:tc>
      </w:tr>
    </w:tbl>
    <w:p>
      <w:pPr>
        <w:pStyle w:val="Heading2"/>
        <w:spacing w:after="160" w:before="280"/>
      </w:pPr>
      <w:r>
        <w:rPr>
          <w:rFonts w:ascii="Arial" w:cs="Arial" w:eastAsia="Arial" w:hAnsi="Arial"/>
          <w:b/>
          <w:bCs/>
          <w:color w:val="2E75B6"/>
          <w:sz w:val="28"/>
          <w:szCs w:val="28"/>
        </w:rPr>
        <w:t xml:space="preserve">7.3 CTO-CMO Risks (Non-Engineering)</w:t>
      </w:r>
    </w:p>
    <w:tbl>
      <w:tblPr>
        <w:tblW w:type="dxa" w:w="11600"/>
        <w:tblBorders>
          <w:top w:val="single" w:color="auto" w:sz="4"/>
          <w:left w:val="single" w:color="auto" w:sz="4"/>
          <w:bottom w:val="single" w:color="auto" w:sz="4"/>
          <w:right w:val="single" w:color="auto" w:sz="4"/>
          <w:insideH w:val="single" w:color="auto" w:sz="4"/>
          <w:insideV w:val="single" w:color="auto" w:sz="4"/>
        </w:tblBorders>
      </w:tblPr>
      <w:tblGrid>
        <w:gridCol w:w="600"/>
        <w:gridCol w:w="5200"/>
        <w:gridCol w:w="1400"/>
        <w:gridCol w:w="2200"/>
        <w:gridCol w:w="220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Risk ID</w:t>
            </w:r>
          </w:p>
        </w:tc>
        <w:tc>
          <w:tcPr>
            <w:tcW w:type="dxa" w:w="5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FR1</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clinical validation protocol (SPIRIT, IRB, stopping rules)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FATAL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Clinical lead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STARTED</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FR2</w:t>
            </w:r>
          </w:p>
        </w:tc>
        <w:tc>
          <w:tcPr>
            <w:tcW w:type="dxa" w:w="5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Cold-start credibility: population defaults with no personalization for 6+ months</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FATAL</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Product + Clinical</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PARTIALLY ADDRESSED (GMI, confidence intervals planned)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FR3</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Physician adoption: no workflow integration specification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FATAL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 + UX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STARTED</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SI5</w:t>
            </w:r>
          </w:p>
        </w:tc>
        <w:tc>
          <w:tcPr>
            <w:tcW w:type="dxa" w:w="5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Missing pharmacist and dietitian workflows</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SERIOUS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Clinical governance</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NOT STARTED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SI6</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WhatsApp single point of failure for patient engagement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SERIOUS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Engineering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STARTED</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SI7</w:t>
            </w:r>
          </w:p>
        </w:tc>
        <w:tc>
          <w:tcPr>
            <w:tcW w:type="dxa" w:w="5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 explicit patient consent architecture</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SERIOUS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Legal + Engineering</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NOT STARTED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SI9</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ABDM / My Health Record integration specification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SERIOUS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Engineering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STARTED</w:t>
            </w:r>
          </w:p>
        </w:tc>
      </w:tr>
    </w:tbl>
    <w:p>
      <w:r>
        <w:br w:type="page"/>
      </w:r>
    </w:p>
    <w:p>
      <w:pPr>
        <w:pStyle w:val="Heading1"/>
        <w:spacing w:after="200" w:before="360"/>
      </w:pPr>
      <w:r>
        <w:rPr>
          <w:rFonts w:ascii="Arial" w:cs="Arial" w:eastAsia="Arial" w:hAnsi="Arial"/>
          <w:b/>
          <w:bCs/>
          <w:color w:val="1B3A5C"/>
          <w:sz w:val="32"/>
          <w:szCs w:val="32"/>
        </w:rPr>
        <w:t xml:space="preserve">8. KB-23 Decision Pipeline (Updated for Module 13)</w:t>
      </w:r>
    </w:p>
    <w:p>
      <w:pPr>
        <w:spacing w:after="120" w:line="276"/>
      </w:pPr>
      <w:r>
        <w:rPr>
          <w:rFonts w:ascii="Arial" w:cs="Arial" w:eastAsia="Arial" w:hAnsi="Arial"/>
          <w:sz w:val="20"/>
          <w:szCs w:val="20"/>
        </w:rPr>
        <w:t xml:space="preserve">The v2.1 10-stage pipeline describes the SCHEDULED RunCycle (every 14 days). Module 13 adds an EVENT-DRIVEN card generation path that operates BETWEEN scheduled cycles.</w:t>
      </w:r>
    </w:p>
    <w:p>
      <w:pPr>
        <w:pStyle w:val="Heading2"/>
        <w:spacing w:after="160" w:before="280"/>
      </w:pPr>
      <w:r>
        <w:rPr>
          <w:rFonts w:ascii="Arial" w:cs="Arial" w:eastAsia="Arial" w:hAnsi="Arial"/>
          <w:b/>
          <w:bCs/>
          <w:color w:val="2E75B6"/>
          <w:sz w:val="28"/>
          <w:szCs w:val="28"/>
        </w:rPr>
        <w:t xml:space="preserve">8.1 Event-Driven Card Generation (New)</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600"/>
        <w:gridCol w:w="408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Card Type</w:t>
            </w:r>
          </w:p>
        </w:tc>
        <w:tc>
          <w:tcPr>
            <w:tcW w:type="dxa" w:w="4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SLA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CKM_RISK_ESCALATION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 13 → clinical.state-change-events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Urgent review card</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 within 4 hours</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RENAL_RAPID_DECLINE</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Module 13</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Nephrology referral + SGLT2i review card</w:t>
            </w:r>
          </w:p>
        </w:tc>
        <w:tc>
          <w:tcPr>
            <w:tcW w:type="dxa" w:w="40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Generate within 2 hours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TRAJECTORY_REVERSAL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 13</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Investigation card (check confounders, adherence)</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 within 4 hours</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ENGAGEMENT_COLLAPSE</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Module 13</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BCE coaching nudge (not a physician card)</w:t>
            </w:r>
          </w:p>
        </w:tc>
        <w:tc>
          <w:tcPr>
            <w:tcW w:type="dxa" w:w="40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Deliver within 24 hours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CROSS_MODULE_INCONSISTENCY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 13</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Diagnostic investigation card</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 within 8 hours</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DATA_ABSENCE_CRITICAL</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Module 13</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Clinical outreach card</w:t>
            </w:r>
          </w:p>
        </w:tc>
        <w:tc>
          <w:tcPr>
            <w:tcW w:type="dxa" w:w="40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Generate within 24 hours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CID HALT alert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 8 → ingestion.safety-critical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Safety card (existing pathway)</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 within 30 minutes</w:t>
            </w:r>
          </w:p>
        </w:tc>
      </w:tr>
    </w:tbl>
    <w:p>
      <w:pPr>
        <w:pBdr>
          <w:left w:val="single" w:color="2E75B6" w:sz="12" w:space="8"/>
        </w:pBdr>
        <w:spacing w:after="200" w:before="200"/>
        <w:ind w:left="400"/>
      </w:pPr>
      <w:r>
        <w:rPr>
          <w:rFonts w:ascii="Arial" w:cs="Arial" w:eastAsia="Arial" w:hAnsi="Arial"/>
          <w:i/>
          <w:iCs/>
          <w:color w:val="555555"/>
          <w:sz w:val="20"/>
          <w:szCs w:val="20"/>
        </w:rPr>
        <w:t xml:space="preserve">The scheduled 14-day RunCycle remains the primary card generation pathway. Event-driven cards supplement it for time-sensitive state changes. KB-23 must deduplicate: if a CKM_RISK_ESCALATION event-driven card was generated 3 days before a scheduled RunCycle, the RunCycle should reference the existing card rather than generating a duplicate.</w:t>
      </w:r>
    </w:p>
    <w:p>
      <w:r>
        <w:br w:type="page"/>
      </w:r>
    </w:p>
    <w:p>
      <w:pPr>
        <w:pStyle w:val="Heading1"/>
        <w:spacing w:after="200" w:before="360"/>
      </w:pPr>
      <w:r>
        <w:rPr>
          <w:rFonts w:ascii="Arial" w:cs="Arial" w:eastAsia="Arial" w:hAnsi="Arial"/>
          <w:b/>
          <w:bCs/>
          <w:color w:val="1B3A5C"/>
          <w:sz w:val="32"/>
          <w:szCs w:val="32"/>
        </w:rPr>
        <w:t xml:space="preserve">9. Implementation Priority (Updated)</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000"/>
        <w:gridCol w:w="7600"/>
        <w:gridCol w:w="408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7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4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w:t>
            </w:r>
          </w:p>
        </w:tc>
        <w:tc>
          <w:tcPr>
            <w:tcW w:type="dxa" w:w="7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Modules 1–4: Core pipeline (ingestion, enrichment, CDS, pattern detection)</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 — E2E validated, 8/8 scenarios</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Phase 2</w:t>
            </w:r>
          </w:p>
        </w:tc>
        <w:tc>
          <w:tcPr>
            <w:tcW w:type="dxa" w:w="7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Module 5: ML Inference Engine</w:t>
            </w:r>
          </w:p>
        </w:tc>
        <w:tc>
          <w:tcPr>
            <w:tcW w:type="dxa" w:w="40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COMPLETE — 36 tests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3</w:t>
            </w:r>
          </w:p>
        </w:tc>
        <w:tc>
          <w:tcPr>
            <w:tcW w:type="dxa" w:w="7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 6: Clinical Action &amp; Distribution + Modules 7–8 verification</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 — Modules 7 (31 tests), 8 (22 tests)</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Phase 4</w:t>
            </w:r>
          </w:p>
        </w:tc>
        <w:tc>
          <w:tcPr>
            <w:tcW w:type="dxa" w:w="7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Modules 9–12: Domain-specific processing</w:t>
            </w:r>
          </w:p>
        </w:tc>
        <w:tc>
          <w:tcPr>
            <w:tcW w:type="dxa" w:w="40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COMPLETE — Module 9 (18), 10/10b (51), 11/11b (54), 12/12b (38 tests)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5 (CURRENT)</w:t>
            </w:r>
          </w:p>
        </w:tc>
        <w:tc>
          <w:tcPr>
            <w:tcW w:type="dxa" w:w="7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 13: Clinical State Synchroniser</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 DESIGN — 37 tests planned, 6 implementation gaps identified</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Phase 6</w:t>
            </w:r>
          </w:p>
        </w:tc>
        <w:tc>
          <w:tcPr>
            <w:tcW w:type="dxa" w:w="7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Enhancement integration (E1–E7, A1–A5): field additions to existing modules</w:t>
            </w:r>
          </w:p>
        </w:tc>
        <w:tc>
          <w:tcPr>
            <w:tcW w:type="dxa" w:w="40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NOT STARTED — 12-week program after Module 13</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7 (PARALLEL)</w:t>
            </w:r>
          </w:p>
        </w:tc>
        <w:tc>
          <w:tcPr>
            <w:tcW w:type="dxa" w:w="7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Clinical validation protocol, physician workflow design, consent architecture</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STARTED — MUST start immediately (Fatal Risks 1–3)</w:t>
            </w:r>
          </w:p>
        </w:tc>
      </w:tr>
    </w:tbl>
    <w:p>
      <w:pPr>
        <w:pBdr>
          <w:left w:val="single" w:color="2E75B6" w:sz="12" w:space="8"/>
        </w:pBdr>
        <w:spacing w:after="200" w:before="200"/>
        <w:ind w:left="400"/>
      </w:pPr>
      <w:r>
        <w:rPr>
          <w:rFonts w:ascii="Arial" w:cs="Arial" w:eastAsia="Arial" w:hAnsi="Arial"/>
          <w:i/>
          <w:iCs/>
          <w:color w:val="555555"/>
          <w:sz w:val="20"/>
          <w:szCs w:val="20"/>
        </w:rPr>
        <w:t xml:space="preserve">Phase 7 is not sequential — it must run in parallel with Phases 5–6. The clinical validation protocol (Fatal Risk 1) and physician workflow design (Fatal Risk 3) are prerequisites for pilot deployment regardless of engineering readiness. Starting them after engineering completion wastes 4–6 weeks of calendar time.</w:t>
      </w:r>
    </w:p>
    <w:p>
      <w:r>
        <w:br w:type="page"/>
      </w:r>
    </w:p>
    <w:p>
      <w:pPr>
        <w:pStyle w:val="Heading1"/>
        <w:spacing w:after="200" w:before="360"/>
      </w:pPr>
      <w:r>
        <w:rPr>
          <w:rFonts w:ascii="Arial" w:cs="Arial" w:eastAsia="Arial" w:hAnsi="Arial"/>
          <w:b/>
          <w:bCs/>
          <w:color w:val="1B3A5C"/>
          <w:sz w:val="32"/>
          <w:szCs w:val="32"/>
        </w:rPr>
        <w:t xml:space="preserve">10. Architectural Invariants (Unchanged)</w:t>
      </w:r>
    </w:p>
    <w:p>
      <w:pPr>
        <w:spacing w:after="120" w:line="276"/>
      </w:pPr>
      <w:r>
        <w:rPr>
          <w:rFonts w:ascii="Arial" w:cs="Arial" w:eastAsia="Arial" w:hAnsi="Arial"/>
          <w:sz w:val="20"/>
          <w:szCs w:val="20"/>
        </w:rPr>
        <w:t xml:space="preserve">The following principles from v2.1 remain unchanged and are restated for completeness.</w:t>
      </w:r>
    </w:p>
    <w:p>
      <w:pPr>
        <w:pStyle w:val="Heading2"/>
        <w:spacing w:after="160" w:before="280"/>
      </w:pPr>
      <w:r>
        <w:rPr>
          <w:rFonts w:ascii="Arial" w:cs="Arial" w:eastAsia="Arial" w:hAnsi="Arial"/>
          <w:b/>
          <w:bCs/>
          <w:color w:val="2E75B6"/>
          <w:sz w:val="28"/>
          <w:szCs w:val="28"/>
        </w:rPr>
        <w:t xml:space="preserve">10.1 Data Flow Invariant</w:t>
      </w:r>
    </w:p>
    <w:p>
      <w:pPr>
        <w:spacing w:after="120" w:line="276"/>
      </w:pPr>
      <w:r>
        <w:rPr>
          <w:rFonts w:ascii="Arial" w:cs="Arial" w:eastAsia="Arial" w:hAnsi="Arial"/>
          <w:sz w:val="20"/>
          <w:szCs w:val="20"/>
        </w:rPr>
        <w:t xml:space="preserve">Every event carries: patientId (non-null, validated at Module 1), correlationId (assigned at Module 1, propagated), eventTime (source timestamp), processingTime (wall clock at each module).</w:t>
      </w:r>
    </w:p>
    <w:p>
      <w:pPr>
        <w:pStyle w:val="Heading2"/>
        <w:spacing w:after="160" w:before="280"/>
      </w:pPr>
      <w:r>
        <w:rPr>
          <w:rFonts w:ascii="Arial" w:cs="Arial" w:eastAsia="Arial" w:hAnsi="Arial"/>
          <w:b/>
          <w:bCs/>
          <w:color w:val="2E75B6"/>
          <w:sz w:val="28"/>
          <w:szCs w:val="28"/>
        </w:rPr>
        <w:t xml:space="preserve">10.2 Serialization Contract</w:t>
      </w:r>
    </w:p>
    <w:p>
      <w:pPr>
        <w:spacing w:after="120" w:line="276"/>
      </w:pPr>
      <w:r>
        <w:rPr>
          <w:rFonts w:ascii="Arial" w:cs="Arial" w:eastAsia="Arial" w:hAnsi="Arial"/>
          <w:sz w:val="20"/>
          <w:szCs w:val="20"/>
        </w:rPr>
        <w:t xml:space="preserve">All inter-module Kafka messages use Jackson JSON with camelCase field names. FAIL_ON_UNKNOWN_PROPERTIES = false globally — making null-field validation at entry points mandatory (Rule 1). Lab payloads use flat structure. Rule 8 (adapter deserializer) applies when unioning heterogeneous topics.</w:t>
      </w:r>
    </w:p>
    <w:p>
      <w:pPr>
        <w:pStyle w:val="Heading2"/>
        <w:spacing w:after="160" w:before="280"/>
      </w:pPr>
      <w:r>
        <w:rPr>
          <w:rFonts w:ascii="Arial" w:cs="Arial" w:eastAsia="Arial" w:hAnsi="Arial"/>
          <w:b/>
          <w:bCs/>
          <w:color w:val="2E75B6"/>
          <w:sz w:val="28"/>
          <w:szCs w:val="28"/>
        </w:rPr>
        <w:t xml:space="preserve">10.3 Checkpointing</w:t>
      </w:r>
    </w:p>
    <w:p>
      <w:pPr>
        <w:spacing w:after="120" w:line="276"/>
      </w:pPr>
      <w:r>
        <w:rPr>
          <w:rFonts w:ascii="Arial" w:cs="Arial" w:eastAsia="Arial" w:hAnsi="Arial"/>
          <w:sz w:val="20"/>
          <w:szCs w:val="20"/>
        </w:rPr>
        <w:t xml:space="preserve">All modules: RocksDB state backend, 3 retained checkpoints. Modules 1–6: intervals 10–60s (see v2.1 Section 7.3). Modules 7–13: 30s intervals. Log rotation: 100MB max, 5 files.</w:t>
      </w:r>
    </w:p>
    <w:p>
      <w:pPr>
        <w:pStyle w:val="Heading2"/>
        <w:spacing w:after="160" w:before="280"/>
      </w:pPr>
      <w:r>
        <w:rPr>
          <w:rFonts w:ascii="Arial" w:cs="Arial" w:eastAsia="Arial" w:hAnsi="Arial"/>
          <w:b/>
          <w:bCs/>
          <w:color w:val="2E75B6"/>
          <w:sz w:val="28"/>
          <w:szCs w:val="28"/>
        </w:rPr>
        <w:t xml:space="preserve">10.4 Consumer Group Naming</w:t>
      </w:r>
    </w:p>
    <w:p>
      <w:pPr>
        <w:spacing w:after="120" w:line="276"/>
      </w:pPr>
      <w:r>
        <w:rPr>
          <w:rFonts w:ascii="Arial" w:cs="Arial" w:eastAsia="Arial" w:hAnsi="Arial"/>
          <w:sz w:val="20"/>
          <w:szCs w:val="20"/>
        </w:rPr>
        <w:t xml:space="preserve">As-built convention: flink-{module}-{topic-function}-v1. Examples: flink-module12-intervention-events-v1, flink-module13-bp-variability-v1. Note: v2.1 specified vaidshala-v4-{module}-{function} but implementations diverged. The as-built convention is now canonical.</w:t>
      </w:r>
    </w:p>
    <w:p>
      <w:pPr>
        <w:pStyle w:val="Heading2"/>
        <w:spacing w:after="160" w:before="280"/>
      </w:pPr>
      <w:r>
        <w:rPr>
          <w:rFonts w:ascii="Arial" w:cs="Arial" w:eastAsia="Arial" w:hAnsi="Arial"/>
          <w:b/>
          <w:bCs/>
          <w:color w:val="2E75B6"/>
          <w:sz w:val="28"/>
          <w:szCs w:val="28"/>
        </w:rPr>
        <w:t xml:space="preserve">10.5 Metrics Standard</w:t>
      </w:r>
    </w:p>
    <w:p>
      <w:pPr>
        <w:spacing w:after="120" w:line="276"/>
      </w:pPr>
      <w:r>
        <w:rPr>
          <w:rFonts w:ascii="Arial" w:cs="Arial" w:eastAsia="Arial" w:hAnsi="Arial"/>
          <w:sz w:val="20"/>
          <w:szCs w:val="20"/>
        </w:rPr>
        <w:t xml:space="preserve">Every module emits: events_in, events_out, events_rejected (counters by topic/type), processing_latency_ms (histogram p50/p95/p99), state_size_bytes (gauge), error_rate (counter), plus module-specific gauges.</w:t>
      </w:r>
    </w:p>
    <w:sectPr>
      <w:headerReference w:type="default" r:id="rId7"/>
      <w:footerReference w:type="default" r:id="rId8"/>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4"/>
      </w:pBdr>
    </w:pPr>
    <w:r>
      <w:rPr>
        <w:rFonts w:ascii="Arial" w:cs="Arial" w:eastAsia="Arial" w:hAnsi="Arial"/>
        <w:color w:val="888888"/>
        <w:sz w:val="16"/>
        <w:szCs w:val="16"/>
      </w:rPr>
      <w:t xml:space="preserve">VAIDSHALA V4  |  Flink Processing Architecture v3.0  |  As-Built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2026-04-05T12:17:16.687Z</dcterms:created>
  <dcterms:modified xsi:type="dcterms:W3CDTF">2026-04-05T12:17:16.688Z</dcterms:modified>
</cp:coreProperties>
</file>

<file path=docProps/custom.xml><?xml version="1.0" encoding="utf-8"?>
<Properties xmlns="http://schemas.openxmlformats.org/officeDocument/2006/custom-properties" xmlns:vt="http://schemas.openxmlformats.org/officeDocument/2006/docPropsVTypes"/>
</file>