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44"/>
          <w:szCs w:val="44"/>
        </w:rPr>
        <w:t xml:space="preserve">VAIDSHALA v4</w:t>
      </w:r>
    </w:p>
    <w:p>
      <w:pPr>
        <w:spacing w:after="200"/>
        <w:jc w:val="center"/>
      </w:pPr>
      <w:r>
        <w:rPr>
          <w:rFonts w:ascii="Arial" w:cs="Arial" w:eastAsia="Arial" w:hAnsi="Arial"/>
          <w:color w:val="2E75B6"/>
          <w:sz w:val="36"/>
          <w:szCs w:val="36"/>
        </w:rPr>
        <w:t xml:space="preserve">North Star Architecture</w:t>
      </w:r>
    </w:p>
    <w:p>
      <w:pPr>
        <w:spacing w:after="200"/>
        <w:jc w:val="center"/>
      </w:pPr>
      <w:r>
        <w:rPr>
          <w:rFonts w:ascii="Arial" w:cs="Arial" w:eastAsia="Arial" w:hAnsi="Arial"/>
          <w:color w:val="555555"/>
          <w:sz w:val="28"/>
          <w:szCs w:val="28"/>
        </w:rPr>
        <w:t xml:space="preserve">Integrated National Cardiometabolic Platform</w:t>
      </w:r>
    </w:p>
    <w:p>
      <w:pPr>
        <w:spacing w:after="600"/>
        <w:jc w:val="center"/>
      </w:pPr>
      <w:r>
        <w:rPr>
          <w:rFonts w:ascii="Arial" w:cs="Arial" w:eastAsia="Arial" w:hAnsi="Arial"/>
          <w:color w:val="777777"/>
          <w:sz w:val="24"/>
          <w:szCs w:val="24"/>
        </w:rPr>
        <w:t xml:space="preserve">Diabetes + Hypertension + CKD + CVD Risk</w:t>
      </w:r>
    </w:p>
    <w:p>
      <w:pPr>
        <w:spacing w:after="200"/>
        <w:jc w:val="center"/>
      </w:pPr>
      <w:r>
        <w:rPr>
          <w:rFonts w:ascii="Arial" w:cs="Arial" w:eastAsia="Arial" w:hAnsi="Arial"/>
          <w:sz w:val="20"/>
          <w:szCs w:val="20"/>
        </w:rPr>
        <w:t xml:space="preserve">March 2026  |  ENGINEERING CONFIDENTIAL</w:t>
      </w:r>
    </w:p>
    <w:p>
      <w:pPr>
        <w:spacing w:after="200"/>
        <w:jc w:val="center"/>
      </w:pPr>
      <w:r>
        <w:rPr>
          <w:rFonts w:ascii="Arial" w:cs="Arial" w:eastAsia="Arial" w:hAnsi="Arial"/>
          <w:i/>
          <w:iCs/>
          <w:color w:val="888888"/>
          <w:sz w:val="18"/>
          <w:szCs w:val="18"/>
        </w:rPr>
        <w:t xml:space="preserve">Supersedes: Master Architecture, Clinical Signal Capture Layer, Kafka Topic Architecture</w:t>
      </w:r>
    </w:p>
    <w:p>
      <w:r>
        <w:br w:type="page"/>
      </w:r>
    </w:p>
    <w:p>
      <w:pPr>
        <w:pStyle w:val="Heading1"/>
        <w:spacing w:after="200" w:before="360"/>
      </w:pPr>
      <w:r>
        <w:rPr>
          <w:rFonts w:ascii="Arial" w:cs="Arial" w:eastAsia="Arial" w:hAnsi="Arial"/>
          <w:b/>
          <w:bCs/>
          <w:color w:val="1B3A5C"/>
          <w:sz w:val="32"/>
          <w:szCs w:val="32"/>
        </w:rPr>
        <w:t xml:space="preserve">1. What Changed: V3 to V4</w:t>
      </w:r>
    </w:p>
    <w:p>
      <w:pPr>
        <w:spacing w:after="120" w:line="276"/>
      </w:pPr>
      <w:r>
        <w:rPr>
          <w:rFonts w:ascii="Arial" w:cs="Arial" w:eastAsia="Arial" w:hAnsi="Arial"/>
          <w:sz w:val="20"/>
          <w:szCs w:val="20"/>
        </w:rPr>
        <w:t xml:space="preserve">V3 was a single-disease metabolic correction engine. V4 extends it to a dual-disease cardiometabolic platform that manages diabetes AND hypertension simultaneously through a unified correction loop, while preserving every V3 module and the deterministic-only boundary.</w:t>
      </w:r>
    </w:p>
    <w:p>
      <w:pPr>
        <w:pStyle w:val="Heading2"/>
        <w:spacing w:after="160" w:before="280"/>
      </w:pPr>
      <w:r>
        <w:rPr>
          <w:rFonts w:ascii="Arial" w:cs="Arial" w:eastAsia="Arial" w:hAnsi="Arial"/>
          <w:b/>
          <w:bCs/>
          <w:color w:val="2E75B6"/>
          <w:sz w:val="28"/>
          <w:szCs w:val="28"/>
        </w:rPr>
        <w:t xml:space="preserve">1.1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 (Current)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V4 (Extension)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Glucose-only M4 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Dual-domain: glucose + BP evaluated together per 14-day cycle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V-MCU generates integrated Decision Cards addressing both domains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MRI (Metabolic Risk Index) — 4 domains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MHRI (Metabolic-Hemodynamic Risk Index) — 5 domains including BP variability</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KB-26 twin extended, not replaced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trajectory + damage composite (existing)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Variability Engine: ARV, morning surge, dip ratio, pattern classification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Flink job consuming existing ingestion.vitals topic</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Meal Correlation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built (planned)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MealResponseCorrelator: glucose curve + sodium-BP correlation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Flink job, 2 new Kafka topics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Intervention-Outcome Records (IOR): causal attribution for every therapy change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batch job + IOR store (PostgreSQL)</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Pharmacotherapy Logic</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GLYC-1 + HTN-1 as separate protocols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Four-Pillar Assessment: RAS + SGLT2i + GLP-1RA + finerenone evaluated as integrated strategy</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Extends GLYC-1/HTN-1/RENAL-1 coordination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CGM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tier (full CGM assumed)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Three-tier: Tier 1 (full CGM), Tier 2 (hybrid CGM+SMBG), Tier 3 (SMBG-only rotating protocol)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Schemas carry data_tier field; all Flink jobs handle all tiers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 Engagement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KB-21 adherence scoring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 Monitor: cross-signal disengagement detection, proactive re-engagement</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Flink job, addresses IHCI 49% loss-to-follow-up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Comorbidity Safety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KB-24 ADR profiles (per-drug)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Comorbidity Interaction Detector: cross-domain drug interaction patterns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Flink job feeding KB-24</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Population Layer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Population analytics topic (existing)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Phenotype clustering, IHCI interop, population surveillance dashboards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Batch ML pipeline, Simple app integration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Feedback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Approve/Modify on Decision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feedback capture: modification diffs, rejection reasons, acceptance rate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Extends KB-23, feeds decision engine improvement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Kafka Topics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 topics in 5 layers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 topics: +flink.meal-responses, +flink.meal-patterns, +flink.bp-variability-metrics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new topics added to Layer 3 (Flink output)</w:t>
            </w:r>
          </w:p>
        </w:tc>
      </w:tr>
    </w:tbl>
    <w:p>
      <w:pPr>
        <w:spacing w:after="200" w:before="200"/>
      </w:pPr>
      <w:r>
        <w:rPr>
          <w:rFonts w:ascii="Arial" w:cs="Arial" w:eastAsia="Arial" w:hAnsi="Arial"/>
          <w:b/>
          <w:bCs/>
          <w:color w:val="C62828"/>
          <w:sz w:val="20"/>
          <w:szCs w:val="20"/>
        </w:rPr>
        <w:t xml:space="preserve">CRITICAL CONSTRAINT: </w:t>
      </w:r>
      <w:r>
        <w:rPr>
          <w:rFonts w:ascii="Arial" w:cs="Arial" w:eastAsia="Arial" w:hAnsi="Arial"/>
          <w:sz w:val="20"/>
          <w:szCs w:val="20"/>
        </w:rPr>
        <w:t xml:space="preserve">Every V4 addition follows the deterministic-only rule. No LLM decides doses, fires safety rules, or changes clinical state values. The four-pillar assessment, BP variability engine, comorbidity interaction detector, and engagement monitor are all deterministic Go/Flink code with auditable traces. The boundary does not move.</w:t>
      </w:r>
    </w:p>
    <w:p>
      <w:r>
        <w:br w:type="page"/>
      </w:r>
    </w:p>
    <w:p>
      <w:pPr>
        <w:pStyle w:val="Heading1"/>
        <w:spacing w:after="200" w:before="360"/>
      </w:pPr>
      <w:r>
        <w:rPr>
          <w:rFonts w:ascii="Arial" w:cs="Arial" w:eastAsia="Arial" w:hAnsi="Arial"/>
          <w:b/>
          <w:bCs/>
          <w:color w:val="1B3A5C"/>
          <w:sz w:val="32"/>
          <w:szCs w:val="32"/>
        </w:rPr>
        <w:t xml:space="preserve">2. The Five Layers — Updated for V4</w:t>
      </w:r>
    </w:p>
    <w:p>
      <w:pPr>
        <w:spacing w:after="120" w:line="276"/>
      </w:pPr>
      <w:r>
        <w:rPr>
          <w:rFonts w:ascii="Arial" w:cs="Arial" w:eastAsia="Arial" w:hAnsi="Arial"/>
          <w:sz w:val="20"/>
          <w:szCs w:val="20"/>
        </w:rPr>
        <w:t xml:space="preserve">The five-layer architecture is preserved. V4 adds modules within existing layers. No new layers. Data continues to flow up: patient signal (Layer 1) to state (Layer 2) to reasoning (Layer 3) to presentation (Layer 5), with intelligence (Layer 4) as a read-only side channel.</w:t>
      </w:r>
    </w:p>
    <w:p>
      <w:pPr>
        <w:pStyle w:val="Heading2"/>
        <w:spacing w:after="160" w:before="280"/>
      </w:pPr>
      <w:r>
        <w:rPr>
          <w:rFonts w:ascii="Arial" w:cs="Arial" w:eastAsia="Arial" w:hAnsi="Arial"/>
          <w:b/>
          <w:bCs/>
          <w:color w:val="2E75B6"/>
          <w:sz w:val="28"/>
          <w:szCs w:val="28"/>
        </w:rPr>
        <w:t xml:space="preserve">2.1 Layer 1 — Ingestion (Data In)</w:t>
      </w:r>
    </w:p>
    <w:p>
      <w:pPr>
        <w:spacing w:after="120" w:line="276"/>
      </w:pPr>
      <w:r>
        <w:rPr>
          <w:rFonts w:ascii="Arial" w:cs="Arial" w:eastAsia="Arial" w:hAnsi="Arial"/>
          <w:sz w:val="20"/>
          <w:szCs w:val="20"/>
        </w:rPr>
        <w:t xml:space="preserve">V3 defined 22 signal types across 5 domains. V4 adds 4 new signal types and extends 3 existing schemas.</w:t>
      </w:r>
    </w:p>
    <w:p>
      <w:pPr>
        <w:pStyle w:val="Heading3"/>
        <w:spacing w:after="120" w:before="200"/>
      </w:pPr>
      <w:r>
        <w:rPr>
          <w:rFonts w:ascii="Arial" w:cs="Arial" w:eastAsia="Arial" w:hAnsi="Arial"/>
          <w:b/>
          <w:bCs/>
          <w:color w:val="404040"/>
          <w:sz w:val="24"/>
          <w:szCs w:val="24"/>
        </w:rPr>
        <w:t xml:space="preserve">New Signal Types (S23–S26)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800"/>
        <w:gridCol w:w="1200"/>
        <w:gridCol w:w="1800"/>
        <w:gridCol w:w="29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Mode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LOINC / Custom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Downstream Consumer</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Sodium estimate (per meal)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Auto-computed from meal log (IFCT 2017 lookup) + manual override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SODIUM-EST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MealResponseCorrelator (Flink), KB-21 dietary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Salt sensitivity phenotyping for Indian HTN population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S24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CGM raw reading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BLE relay from Ultrahuman M1 / Abbott Libre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Custom: CGM-RAW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 CGM Aggregation, MealResponseCorrelator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Already in Kafka topic design (ingestion.cgm-raw); now formally a signal type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action on Decision Card, patient acceptance of lifestyle recommendation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INTERVENTION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InterventionWindowMonitor (Flink), IOR generator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every therapy change for causal attribution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S26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Physician feedback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Structured response on Decision Card: approve/modify/reject/defer with reason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Custom: PHY-FEEDBACK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KB-23 improvement loop, physician acceptance rate tracker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Trains decision engine to reduce modification/rejection rate</w:t>
            </w:r>
          </w:p>
        </w:tc>
      </w:tr>
    </w:tbl>
    <w:p>
      <w:pPr>
        <w:pStyle w:val="Heading3"/>
        <w:spacing w:after="120" w:before="200"/>
      </w:pPr>
      <w:r>
        <w:rPr>
          <w:rFonts w:ascii="Arial" w:cs="Arial" w:eastAsia="Arial" w:hAnsi="Arial"/>
          <w:b/>
          <w:bCs/>
          <w:color w:val="404040"/>
          <w:sz w:val="24"/>
          <w:szCs w:val="24"/>
        </w:rPr>
        <w:t xml:space="preserve">Extended Signal Schemas</w:t>
      </w:r>
    </w:p>
    <w:p>
      <w:pPr>
        <w:spacing w:after="120" w:line="276"/>
      </w:pPr>
      <w:r>
        <w:rPr>
          <w:rFonts w:ascii="Arial" w:cs="Arial" w:eastAsia="Arial" w:hAnsi="Arial"/>
          <w:sz w:val="20"/>
          <w:szCs w:val="20"/>
        </w:rPr>
        <w:t xml:space="preserve">S4 (Meal log): Add sodium_estimated_mg field (auto-populated from IFCT 2017 sodium lookup based on food_id and quantity). Add preparation_method enum. Add food_name_local for regional variant tracking.</w:t>
      </w:r>
    </w:p>
    <w:p>
      <w:pPr>
        <w:spacing w:after="120" w:line="276"/>
      </w:pPr>
      <w:r>
        <w:rPr>
          <w:rFonts w:ascii="Arial" w:cs="Arial" w:eastAsia="Arial" w:hAnsi="Arial"/>
          <w:sz w:val="20"/>
          <w:szCs w:val="20"/>
        </w:rPr>
        <w:t xml:space="preserve">S7 (Blood pressure): Add device_type field (oscillometric_cuff / cuffless_ppg / cuffless_tonometric). Add clinical_grade boolean. Add measurement_method for future cuffless BP device readiness (estimated 2027-2028).</w:t>
      </w:r>
    </w:p>
    <w:p>
      <w:pPr>
        <w:spacing w:after="120" w:line="276"/>
      </w:pPr>
      <w:r>
        <w:rPr>
          <w:rFonts w:ascii="Arial" w:cs="Arial" w:eastAsia="Arial" w:hAnsi="Arial"/>
          <w:sz w:val="20"/>
          <w:szCs w:val="20"/>
        </w:rPr>
        <w:t xml:space="preserve">S1 (Fasting glucose): Add data_tier field (TIER_1_CGM / TIER_2_HYBRID / TIER_3_SMBG). Add source_protocol field (for Tier 3 rotating meal protocol: which meal slot was targeted today).</w:t>
      </w:r>
    </w:p>
    <w:p>
      <w:pPr>
        <w:pStyle w:val="Heading3"/>
        <w:spacing w:after="120" w:before="200"/>
      </w:pPr>
      <w:r>
        <w:rPr>
          <w:rFonts w:ascii="Arial" w:cs="Arial" w:eastAsia="Arial" w:hAnsi="Arial"/>
          <w:b/>
          <w:bCs/>
          <w:color w:val="404040"/>
          <w:sz w:val="24"/>
          <w:szCs w:val="24"/>
        </w:rPr>
        <w:t xml:space="preserve">Three-Tier Data Fidelity Model</w:t>
      </w:r>
    </w:p>
    <w:p>
      <w:pPr>
        <w:spacing w:after="120" w:line="276"/>
      </w:pPr>
      <w:r>
        <w:rPr>
          <w:rFonts w:ascii="Arial" w:cs="Arial" w:eastAsia="Arial" w:hAnsi="Arial"/>
          <w:sz w:val="20"/>
          <w:szCs w:val="20"/>
        </w:rPr>
        <w:t xml:space="preserve">Every signal type now carries a data_tier field. This determines processing granularity throughout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1200"/>
        <w:gridCol w:w="900"/>
        <w:gridCol w:w="1800"/>
        <w:gridCol w:w="16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Glucose Source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BP Source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Readings/Day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Meal-Response Fidelity</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Cost/Patient/90d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1: Full CGM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CGM (288/day) + quarterly HbA1c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BLE cuff (2/day)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curve: peak, time-to-peak, iAUC, return-to-baseline, curve shape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₹24,000–36,000 (CGM) + ₹2,500 (cuff)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2: Hybrid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Insurance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CGM (56 days) + SMBG (34 days) + quarterly HbA1c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BLE cuff (2/day)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~290 (CGM days) or ~4 (SMBG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curve on CGM days; paired delta on SMBG days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₹17,000–23,000 (CGM) + ₹3,600 (SMBG) + ₹2,500 (cuff)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3: SMBG Only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Government / NHM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SMBG (2-4/day, rotating meal protocol)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BLE cuff (1-2/day) or facility BP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Paired pre/post delta only, ~90 pairs over 90 days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₹3,600 (SMBG strips) + ₹1,500 (glucometer)</w:t>
            </w:r>
          </w:p>
        </w:tc>
      </w:tr>
    </w:tbl>
    <w:p>
      <w:pPr>
        <w:pBdr>
          <w:left w:val="single" w:color="2E75B6" w:sz="6" w:space="8"/>
        </w:pBdr>
        <w:spacing w:after="120"/>
        <w:ind w:left="240"/>
      </w:pPr>
      <w:r>
        <w:rPr>
          <w:rFonts w:ascii="Arial" w:cs="Arial" w:eastAsia="Arial" w:hAnsi="Arial"/>
          <w:i/>
          <w:iCs/>
          <w:color w:val="555555"/>
          <w:sz w:val="20"/>
          <w:szCs w:val="20"/>
        </w:rPr>
        <w:t xml:space="preserve">Strategic insight: Tier 1 patients train models that serve Tier 3 patients. Rich CGM data from corporate patients builds phenotype-specific meal-response profiles that are applied via phenotype matching to SMBG-only government patients.</w:t>
      </w:r>
    </w:p>
    <w:p>
      <w:r>
        <w:br w:type="page"/>
      </w:r>
    </w:p>
    <w:p>
      <w:pPr>
        <w:pStyle w:val="Heading2"/>
        <w:spacing w:after="160" w:before="280"/>
      </w:pPr>
      <w:r>
        <w:rPr>
          <w:rFonts w:ascii="Arial" w:cs="Arial" w:eastAsia="Arial" w:hAnsi="Arial"/>
          <w:b/>
          <w:bCs/>
          <w:color w:val="2E75B6"/>
          <w:sz w:val="28"/>
          <w:szCs w:val="28"/>
        </w:rPr>
        <w:t xml:space="preserve">2.2 Layer 2 — State (Patient State Vector)</w:t>
      </w:r>
    </w:p>
    <w:p>
      <w:pPr>
        <w:spacing w:after="120" w:line="276"/>
      </w:pPr>
      <w:r>
        <w:rPr>
          <w:rFonts w:ascii="Arial" w:cs="Arial" w:eastAsia="Arial" w:hAnsi="Arial"/>
          <w:sz w:val="20"/>
          <w:szCs w:val="20"/>
        </w:rPr>
        <w:t xml:space="preserve">KB-20 extended from ~70 fields to ~95 fields. New domains added; existing domains preserved.</w:t>
      </w:r>
    </w:p>
    <w:p>
      <w:pPr>
        <w:pStyle w:val="Heading3"/>
        <w:spacing w:after="120" w:before="200"/>
      </w:pPr>
      <w:r>
        <w:rPr>
          <w:rFonts w:ascii="Arial" w:cs="Arial" w:eastAsia="Arial" w:hAnsi="Arial"/>
          <w:b/>
          <w:bCs/>
          <w:color w:val="404040"/>
          <w:sz w:val="24"/>
          <w:szCs w:val="24"/>
        </w:rPr>
        <w:t xml:space="preserve">New KB-20 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Fields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bp_arv_7d, bp_arv_30d, bp_cv_7d, bp_morning_surge_flag, bp_dip_classification (dipper/non-dipper/reverse-dipper), bp_pattern_classification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Engine (Flink)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Salt Sensitivity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sodium_avg_daily_mg, sodium_bp_correlation_coefficient, salt_sensitivity_phenotype (salt-sensitive / salt-resistant / undetermined)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 (Flink)</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Four-Pillar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pillar_ras_active (bool + drug + dose), pillar_sglt2i_active, pillar_glp1ra_active, pillar_nsmra_active, pillars_indicated_not_prescribed[], pillars_contraindicated[]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MedicationState sync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mhri_composite (0-100), mhri_glycemic (0-25), mhri_hemodynamic (0-25), mhri_renal (0-20), mhri_metabolic (0-15), mhri_engagement (0-15), mhri_trajectory (improving/stable/deteriorating)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KB-26 twin (extended)</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NEW — extends MRI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engagement_score (0-1), days_since_glucose, days_since_bp, days_since_meal_log, days_since_app_session, engagement_trend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Monitor (Flink)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 History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active_interventions[] (intervention_id, type, start_date, observation_window_end), last_ior_id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InterventionWindowMonitor + IOR generator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Meal-Response Profile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avg_postmeal_peak, avg_postmeal_iAUC, worst_foods_top3[], best_foods_top3[], meal_logging_compliance_7d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MealPatternAggregator (Flink)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 to build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Acceptance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recommendation_acceptance_rate_30d, last_rejection_reason, modification_pattern_summary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physician feedback loop</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NEW — to build</w:t>
            </w:r>
          </w:p>
        </w:tc>
      </w:tr>
    </w:tbl>
    <w:p>
      <w:r>
        <w:br w:type="page"/>
      </w:r>
    </w:p>
    <w:p>
      <w:pPr>
        <w:pStyle w:val="Heading2"/>
        <w:spacing w:after="160" w:before="280"/>
      </w:pPr>
      <w:r>
        <w:rPr>
          <w:rFonts w:ascii="Arial" w:cs="Arial" w:eastAsia="Arial" w:hAnsi="Arial"/>
          <w:b/>
          <w:bCs/>
          <w:color w:val="2E75B6"/>
          <w:sz w:val="28"/>
          <w:szCs w:val="28"/>
        </w:rPr>
        <w:t xml:space="preserve">2.3 Layer 2 — New Flink Jobs</w:t>
      </w:r>
    </w:p>
    <w:p>
      <w:pPr>
        <w:spacing w:after="120" w:line="276"/>
      </w:pPr>
      <w:r>
        <w:rPr>
          <w:rFonts w:ascii="Arial" w:cs="Arial" w:eastAsia="Arial" w:hAnsi="Arial"/>
          <w:sz w:val="20"/>
          <w:szCs w:val="20"/>
        </w:rPr>
        <w:t xml:space="preserve">V3 had 4 Flink jobs (CGM aggregation, trajectory analysis, MRI trigger, deterioration detection). V4 adds 5 new jobs for a total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900"/>
        <w:gridCol w:w="9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Flink Job</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Topics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Topic(s)</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Keying</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CGM Aggregation [V3]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ingestion.cgm-raw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flink.cgm-aggregates → ingestion.wearable-agg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24h tumbling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EXISTS — extend with cgm_active flag, nocturnal profile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Trajectory Analysis [V3]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ingestion.labs, ingestion.patient-reported, intake.checkins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flink.trajectory-signals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14-day sliding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EXISTS — extend for BP trajectory + composite 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MRI Trigger [V3]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ingestion.labs, ingestion.vitals, ingestion.wearable-agg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flink.mri-triggers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Event-driven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EXISTS — extend trigger criteria for BP variability changes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Deterioration Detection [V3]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ingestion.labs, ingestion.vitals, ingestion.safety-critical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flink.deterioration-alerts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CEP patterns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EXISTS — add cross-domain deterioration patterns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BP Variability Engine [NEW]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ingestion.vitals, ingestion.clinic-bp (new source)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flink.bp-variability-metrics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7d + 30d sliding</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NEW — computes ARV, morning surge, dip ratio, pattern classification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MealResponseCorrelator [NEW]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ingestion.meal-events (from patient-reported), ingestion.cgm-raw, ingestion.smbg (from patient-reported), ingestion.vitals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flink.meal-responses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3h session (glucose), 2h session (BP)</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NEW — three-tier processing, sodium-BP correlation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MealPatternAggregator [NEW]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flink.meal-responses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flink.meal-patterns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7d tumbling</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NEW — weekly dietary patterns, worst/best foods, sodium-BP trend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InterventionWindowMonitor [NEW]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clinical.intervention-events (new topic from clinical.medication-events)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clinical.intervention-window-signals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Event-driven (14d or 28d windows)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NEW — tracks observation windows, detects concurrent interventions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Engagement Monitor [NEW]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All ingestion.* topics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alerts.engagement-drop [NEW], flink.engagement-scores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patient_id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Rolling 14d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NEW — cross-signal disengagement detection</w:t>
            </w:r>
          </w:p>
        </w:tc>
      </w:tr>
    </w:tbl>
    <w:p>
      <w:r>
        <w:br w:type="page"/>
      </w:r>
    </w:p>
    <w:p>
      <w:pPr>
        <w:pStyle w:val="Heading2"/>
        <w:spacing w:after="160" w:before="280"/>
      </w:pPr>
      <w:r>
        <w:rPr>
          <w:rFonts w:ascii="Arial" w:cs="Arial" w:eastAsia="Arial" w:hAnsi="Arial"/>
          <w:b/>
          <w:bCs/>
          <w:color w:val="2E75B6"/>
          <w:sz w:val="28"/>
          <w:szCs w:val="28"/>
        </w:rPr>
        <w:t xml:space="preserve">2.4 Layer 3 — Reasoning (Clinical Decisions)</w:t>
      </w:r>
    </w:p>
    <w:p>
      <w:pPr>
        <w:spacing w:after="120" w:line="276"/>
      </w:pPr>
      <w:r>
        <w:rPr>
          <w:rFonts w:ascii="Arial" w:cs="Arial" w:eastAsia="Arial" w:hAnsi="Arial"/>
          <w:sz w:val="20"/>
          <w:szCs w:val="20"/>
        </w:rPr>
        <w:t xml:space="preserve">V-MCU RunCycle is preserved. The dual-domain correction loop extends V-MCU's Channel C evaluation to assess both glucose AND BP state simultaneously and generate integrated Decision Cards.</w:t>
      </w:r>
    </w:p>
    <w:p>
      <w:pPr>
        <w:pStyle w:val="Heading3"/>
        <w:spacing w:after="120" w:before="200"/>
      </w:pPr>
      <w:r>
        <w:rPr>
          <w:rFonts w:ascii="Arial" w:cs="Arial" w:eastAsia="Arial" w:hAnsi="Arial"/>
          <w:b/>
          <w:bCs/>
          <w:color w:val="404040"/>
          <w:sz w:val="24"/>
          <w:szCs w:val="24"/>
        </w:rPr>
        <w:t xml:space="preserve">Dual-Domain State Classification</w:t>
      </w:r>
    </w:p>
    <w:p>
      <w:pPr>
        <w:spacing w:after="120" w:line="276"/>
      </w:pPr>
      <w:r>
        <w:rPr>
          <w:rFonts w:ascii="Arial" w:cs="Arial" w:eastAsia="Arial" w:hAnsi="Arial"/>
          <w:sz w:val="20"/>
          <w:szCs w:val="20"/>
        </w:rPr>
        <w:t xml:space="preserve">At each 14-day correction cycle, the system classifies the patient into one of six states that determine intervention urgency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Glucose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BP</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Controlled-Controlled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target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 no intervention, continue monitoring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Controlled-Uncontrolled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 target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at target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BP-focused intervention (HTN-1 protocol)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Uncontrolled-Controlled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at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target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Glucose-focused intervention (GLYC-1 protocol)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Uncontrolled-Uncontrolled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at target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at target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Integrated intervention — highest priority, four-pillar 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Deteriorating-Any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Worsening trajectory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 review regardless of absolute levels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Safety Alert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Hypo / DKA risk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Hypertensive emergency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Immediate escalation, bypasses cycle</w:t>
            </w:r>
          </w:p>
        </w:tc>
      </w:tr>
    </w:tbl>
    <w:p>
      <w:pPr>
        <w:pStyle w:val="Heading3"/>
        <w:spacing w:after="120" w:before="200"/>
      </w:pPr>
      <w:r>
        <w:rPr>
          <w:rFonts w:ascii="Arial" w:cs="Arial" w:eastAsia="Arial" w:hAnsi="Arial"/>
          <w:b/>
          <w:bCs/>
          <w:color w:val="404040"/>
          <w:sz w:val="24"/>
          <w:szCs w:val="24"/>
        </w:rPr>
        <w:t xml:space="preserve">Four-Pillar Pharmacotherapy Assessment</w:t>
      </w:r>
    </w:p>
    <w:p>
      <w:pPr>
        <w:spacing w:after="120" w:line="276"/>
      </w:pPr>
      <w:r>
        <w:rPr>
          <w:rFonts w:ascii="Arial" w:cs="Arial" w:eastAsia="Arial" w:hAnsi="Arial"/>
          <w:sz w:val="20"/>
          <w:szCs w:val="20"/>
        </w:rPr>
        <w:t xml:space="preserve">For Uncontrolled-Uncontrolled patients, KB-23 evaluates the four pillars of cardiometabolic therapy as an integrated strategy rather than siloed drug-by-drug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2400"/>
        <w:gridCol w:w="19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Drug Class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Dual-Domain Benefit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Safety Constraint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 RAS Blockade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ACEi or ARB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BP reduction + albuminuria reduction + renal protection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K+ &gt; 5.5, bilateral renal artery stenosis, pregnancy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HTN-1 + RENAL-1</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2: SGLT2 Inhibitor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Empagliflozin, Dapagliflozin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Glucose lowering + BP reduction (3-5 mmHg) + renal protection + HF reduction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eGFR &lt; 20 (glucose benefit), recurrent UTI, T1DM</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GLYC-1 + RENAL-1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 GLP-1 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Semaglutide, Liraglutide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Glucose lowering + weight loss + BP reduction (2-4 mmHg) + MACE reduction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MTC history, pancreatitis, eGFR &lt; 15 (some agents). Cost: ₹8-15K/mo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GLYC-1</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4: ns-MRA</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Finerenone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Albuminuria reduction + CV event reduction in DKD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K+ &gt; 5.0 at initiation, adrenal insufficiency, strong CYP3A4 inhibitors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RENAL-1</w:t>
            </w:r>
          </w:p>
        </w:tc>
      </w:tr>
    </w:tbl>
    <w:p>
      <w:pPr>
        <w:pBdr>
          <w:left w:val="single" w:color="2E75B6" w:sz="6" w:space="8"/>
        </w:pBdr>
        <w:spacing w:after="120"/>
        <w:ind w:left="240"/>
      </w:pPr>
      <w:r>
        <w:rPr>
          <w:rFonts w:ascii="Arial" w:cs="Arial" w:eastAsia="Arial" w:hAnsi="Arial"/>
          <w:i/>
          <w:iCs/>
          <w:color w:val="555555"/>
          <w:sz w:val="20"/>
          <w:szCs w:val="20"/>
        </w:rPr>
        <w:t xml:space="preserve">When SGLT2i is recommended for glucose control AND the patient has uncontrolled BP, the Decision Card highlights the dual benefit: 'Adding empagliflozin 10mg is expected to lower HbA1c by ~0.7% AND reduce SBP by ~4 mmHg. This addresses both domains.' The IOR tracks outcomes in both domains from this single intervention.</w:t>
      </w:r>
    </w:p>
    <w:p>
      <w:pPr>
        <w:pStyle w:val="Heading3"/>
        <w:spacing w:after="120" w:before="200"/>
      </w:pPr>
      <w:r>
        <w:rPr>
          <w:rFonts w:ascii="Arial" w:cs="Arial" w:eastAsia="Arial" w:hAnsi="Arial"/>
          <w:b/>
          <w:bCs/>
          <w:color w:val="404040"/>
          <w:sz w:val="24"/>
          <w:szCs w:val="24"/>
        </w:rPr>
        <w:t xml:space="preserve">Physician Feedback Loop — Structured Capture</w:t>
      </w:r>
    </w:p>
    <w:p>
      <w:pPr>
        <w:spacing w:after="120" w:line="276"/>
      </w:pPr>
      <w:r>
        <w:rPr>
          <w:rFonts w:ascii="Arial" w:cs="Arial" w:eastAsia="Arial" w:hAnsi="Arial"/>
          <w:sz w:val="20"/>
          <w:szCs w:val="20"/>
        </w:rPr>
        <w:t xml:space="preserve">Every KB-23 Decision Card generates a recommendation-response record regardless of physician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Physician Action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Learning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 response time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Reinforces recommendation pattern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MODIFIED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 diff (e.g., 'dose halved'), structured reason</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Learns adjustment patterns (e.g., 'for age &gt; 70, reduce dose step by 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Categorized reason: CONTRAINDICATION_KNOWN / PATIENT_PREFERENCE / CLINICAL_JUDGMENT / ALREADY_TRIED / COST_BARRIER / TIMING_INAPPROPRIATE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Enriches KB-24 safety rules (CONTRAINDICATION_KNOWN), patient preference model, cost-aware recommendations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DEFERRED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Snooze duration, reason</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Timing-awareness for future recommendations</w:t>
            </w:r>
          </w:p>
        </w:tc>
      </w:tr>
    </w:tbl>
    <w:p>
      <w:pPr>
        <w:spacing w:after="120" w:line="276"/>
      </w:pPr>
      <w:r>
        <w:rPr>
          <w:rFonts w:ascii="Arial" w:cs="Arial" w:eastAsia="Arial" w:hAnsi="Arial"/>
          <w:sz w:val="20"/>
          <w:szCs w:val="20"/>
        </w:rPr>
        <w:t xml:space="preserve">Target: 70% acceptance rate within 6 months, 85% within 12 months. Per-physician variance tracked — high rejection rates trigger onboarding review or knowledge capture.</w:t>
      </w:r>
    </w:p>
    <w:p>
      <w:r>
        <w:br w:type="page"/>
      </w:r>
    </w:p>
    <w:p>
      <w:pPr>
        <w:pStyle w:val="Heading1"/>
        <w:spacing w:after="200" w:before="360"/>
      </w:pPr>
      <w:r>
        <w:rPr>
          <w:rFonts w:ascii="Arial" w:cs="Arial" w:eastAsia="Arial" w:hAnsi="Arial"/>
          <w:b/>
          <w:bCs/>
          <w:color w:val="1B3A5C"/>
          <w:sz w:val="32"/>
          <w:szCs w:val="32"/>
        </w:rPr>
        <w:t xml:space="preserve">3. Kafka Topic Updates — V3 to V4</w:t>
      </w:r>
    </w:p>
    <w:p>
      <w:pPr>
        <w:spacing w:after="120" w:line="276"/>
      </w:pPr>
      <w:r>
        <w:rPr>
          <w:rFonts w:ascii="Arial" w:cs="Arial" w:eastAsia="Arial" w:hAnsi="Arial"/>
          <w:sz w:val="20"/>
          <w:szCs w:val="20"/>
        </w:rPr>
        <w:t xml:space="preserve">V3 defined 18 topics in 5 layers. V4 adds 6 new topics (all in Layer 3: Flink output, or Layer 4: Clinical engine events). No changes to Layer 1 (ingestion) or Layer 2 (intake) topics — those are extended via schema evolution (additive fields only, per the schema evolution rules in the Kafka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1800"/>
        <w:gridCol w:w="800"/>
        <w:gridCol w:w="600"/>
        <w:gridCol w:w="700"/>
        <w:gridCol w:w="1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Topic</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Partition Key</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Partitions (10K)</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flink.bp-variability-metrics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 (Flink)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BP Variability Engine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Daily BP variability: ARV, CV, morning surge, dip classification, pattern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6</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30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KB-20, KB-22, KB-26, M4 correction loop</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flink.meal-responses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 (Flink)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MealResponseCorrelator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Per-meal glucose response + optional BP response + context enrichment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6</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30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MealPatternAggregator, KB-21, KB-26, IOR generator</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flink.meal-patterns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 (Flink)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MealPatternAggregator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Weekly dietary patterns: worst/best foods, sodium avg, compliance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30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KB-21, KB-26, physician dashboard</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clinical.intervention-window-signals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4 (Clinical)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InterventionWindowMonitor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WINDOW_OPENED / WINDOW_MIDPOINT / WINDOW_CLOSED signals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90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IOR generator (batch), coaching engine (midpoint nudge)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flink.engagement-scores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 (Flink)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Engagement Monitor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Daily engagement score per patient, engagement trend</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14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KB-20, coaching engine, care coordinator dashboard</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alerts.engagement-drop</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 (Flink)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Engagement Monitor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Engagement below threshold alert — triggers re-engagement workflow</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patient_id</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30 days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Notification service, ASHA worker queue, coaching engine</w:t>
            </w:r>
          </w:p>
        </w:tc>
      </w:tr>
    </w:tbl>
    <w:p>
      <w:pPr>
        <w:pBdr>
          <w:left w:val="single" w:color="2E75B6" w:sz="6" w:space="8"/>
        </w:pBdr>
        <w:spacing w:after="120"/>
        <w:ind w:left="240"/>
      </w:pPr>
      <w:r>
        <w:rPr>
          <w:rFonts w:ascii="Arial" w:cs="Arial" w:eastAsia="Arial" w:hAnsi="Arial"/>
          <w:i/>
          <w:iCs/>
          <w:color w:val="555555"/>
          <w:sz w:val="20"/>
          <w:szCs w:val="20"/>
        </w:rPr>
        <w:t xml:space="preserve">Total topic count: 24 (18 existing + 6 new). All new topics follow the same canonical message envelope, partition-by-patient_id, and schema evolution rules defined in the V3 Kafka architecture document.</w:t>
      </w:r>
    </w:p>
    <w:p>
      <w:r>
        <w:br w:type="page"/>
      </w:r>
    </w:p>
    <w:p>
      <w:pPr>
        <w:pStyle w:val="Heading1"/>
        <w:spacing w:after="200" w:before="360"/>
      </w:pPr>
      <w:r>
        <w:rPr>
          <w:rFonts w:ascii="Arial" w:cs="Arial" w:eastAsia="Arial" w:hAnsi="Arial"/>
          <w:b/>
          <w:bCs/>
          <w:color w:val="1B3A5C"/>
          <w:sz w:val="32"/>
          <w:szCs w:val="32"/>
        </w:rPr>
        <w:t xml:space="preserve">4. Intervention-Outcome Record (IOR) System</w:t>
      </w:r>
    </w:p>
    <w:p>
      <w:pPr>
        <w:spacing w:after="120" w:line="276"/>
      </w:pPr>
      <w:r>
        <w:rPr>
          <w:rFonts w:ascii="Arial" w:cs="Arial" w:eastAsia="Arial" w:hAnsi="Arial"/>
          <w:sz w:val="20"/>
          <w:szCs w:val="20"/>
        </w:rPr>
        <w:t xml:space="preserve">The IOR system is the strategic data asset that compounds over time. It captures every therapy change (medication, lifestyle, nutrition) with the patient's state before and after, adherence data, confounders, and trajectory signals — enabling causal attribution of outcomes to interventions.</w:t>
      </w:r>
    </w:p>
    <w:p>
      <w:pPr>
        <w:pStyle w:val="Heading2"/>
        <w:spacing w:after="160" w:before="280"/>
      </w:pPr>
      <w:r>
        <w:rPr>
          <w:rFonts w:ascii="Arial" w:cs="Arial" w:eastAsia="Arial" w:hAnsi="Arial"/>
          <w:b/>
          <w:bCs/>
          <w:color w:val="2E75B6"/>
          <w:sz w:val="28"/>
          <w:szCs w:val="28"/>
        </w:rPr>
        <w:t xml:space="preserve">4.1 Architecture</w:t>
      </w:r>
    </w:p>
    <w:p>
      <w:pPr>
        <w:spacing w:after="120" w:line="276"/>
      </w:pPr>
      <w:r>
        <w:rPr>
          <w:rFonts w:ascii="Arial" w:cs="Arial" w:eastAsia="Arial" w:hAnsi="Arial"/>
          <w:sz w:val="20"/>
          <w:szCs w:val="20"/>
        </w:rPr>
        <w:t xml:space="preserve">The IOR system is NOT a real-time Flink job. It is a scheduled batch process (daily cron) that assembles complete records from multiple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clinical.intervention-events (Kafka)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start: drug/dose/lifestyle change, prescribing context, originating Decision Card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InterventionWindowMonitor consumes this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(PostgreSQL + Redis)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state snapshot at intervention start AND at window close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Direct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flink.meal-responses / flink.meal-patterns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Dietary data during observation window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Kafka consumer or Iceberg query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flink.trajectory-signals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 before and during intervention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Kafka consumer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KB-21 adherence scoring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Per-intervention adherence assessment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call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Patient-reported events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External events (illness, travel, festivals) during window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patient-reported signal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feedback record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 the original recommendation approved as-is or modified?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feedback store</w:t>
            </w:r>
          </w:p>
        </w:tc>
      </w:tr>
    </w:tbl>
    <w:p>
      <w:pPr>
        <w:pStyle w:val="Heading2"/>
        <w:spacing w:after="160" w:before="280"/>
      </w:pPr>
      <w:r>
        <w:rPr>
          <w:rFonts w:ascii="Arial" w:cs="Arial" w:eastAsia="Arial" w:hAnsi="Arial"/>
          <w:b/>
          <w:bCs/>
          <w:color w:val="2E75B6"/>
          <w:sz w:val="28"/>
          <w:szCs w:val="28"/>
        </w:rPr>
        <w:t xml:space="preserve">4.2 Observation Windows</w:t>
      </w:r>
    </w:p>
    <w:p>
      <w:pPr>
        <w:spacing w:after="120" w:line="276"/>
      </w:pPr>
      <w:r>
        <w:rPr>
          <w:rFonts w:ascii="Arial" w:cs="Arial" w:eastAsia="Arial" w:hAnsi="Arial"/>
          <w:sz w:val="20"/>
          <w:szCs w:val="20"/>
        </w:rPr>
        <w:t xml:space="preserve">Lifestyle/nutrition interventions: 14-day window. Medication changes: 28-day window. Cross-domain interventions (e.g., SGLT2i affecting both glucose and BP): outcomes tracked in both domains from single IOR.</w:t>
      </w:r>
    </w:p>
    <w:p>
      <w:pPr>
        <w:pStyle w:val="Heading2"/>
        <w:spacing w:after="160" w:before="280"/>
      </w:pPr>
      <w:r>
        <w:rPr>
          <w:rFonts w:ascii="Arial" w:cs="Arial" w:eastAsia="Arial" w:hAnsi="Arial"/>
          <w:b/>
          <w:bCs/>
          <w:color w:val="2E75B6"/>
          <w:sz w:val="28"/>
          <w:szCs w:val="28"/>
        </w:rPr>
        <w:t xml:space="preserve">4.3 Flywheel Effect</w:t>
      </w:r>
    </w:p>
    <w:p>
      <w:pPr>
        <w:spacing w:after="120" w:line="276"/>
      </w:pPr>
      <w:r>
        <w:rPr>
          <w:rFonts w:ascii="Arial" w:cs="Arial" w:eastAsia="Arial" w:hAnsi="Arial"/>
          <w:sz w:val="20"/>
          <w:szCs w:val="20"/>
        </w:rPr>
        <w:t xml:space="preserve">At 10,000 patients over 12 months, the IOR store accumulates ~100,000+ intervention-outcome pairs. KB-23's decision engine queries the IOR store when generating recommendations: 'For patients with this phenotype who received this intervention, the observed outcome was X.' This is precision cardiometabolic medicine backed by real-world South Asian data.</w:t>
      </w:r>
    </w:p>
    <w:p>
      <w:r>
        <w:br w:type="page"/>
      </w:r>
    </w:p>
    <w:p>
      <w:pPr>
        <w:pStyle w:val="Heading1"/>
        <w:spacing w:after="200" w:before="360"/>
      </w:pPr>
      <w:r>
        <w:rPr>
          <w:rFonts w:ascii="Arial" w:cs="Arial" w:eastAsia="Arial" w:hAnsi="Arial"/>
          <w:b/>
          <w:bCs/>
          <w:color w:val="1B3A5C"/>
          <w:sz w:val="32"/>
          <w:szCs w:val="32"/>
        </w:rPr>
        <w:t xml:space="preserve">5. IHCI Integration — Government Channel</w:t>
      </w:r>
    </w:p>
    <w:p>
      <w:pPr>
        <w:spacing w:after="120" w:line="276"/>
      </w:pPr>
      <w:r>
        <w:rPr>
          <w:rFonts w:ascii="Arial" w:cs="Arial" w:eastAsia="Arial" w:hAnsi="Arial"/>
          <w:sz w:val="20"/>
          <w:szCs w:val="20"/>
        </w:rPr>
        <w:t xml:space="preserve">The India Hypertension Control Initiative (IHCI) operates across 21,000+ public health facilities in 141 districts using the Simple app. Vaidshala does not replace IHCI — it adds the intelligence layer between patient visits.</w:t>
      </w:r>
    </w:p>
    <w:p>
      <w:pPr>
        <w:pStyle w:val="Heading2"/>
        <w:spacing w:after="160" w:before="280"/>
      </w:pPr>
      <w:r>
        <w:rPr>
          <w:rFonts w:ascii="Arial" w:cs="Arial" w:eastAsia="Arial" w:hAnsi="Arial"/>
          <w:b/>
          <w:bCs/>
          <w:color w:val="2E75B6"/>
          <w:sz w:val="28"/>
          <w:szCs w:val="28"/>
        </w:rPr>
        <w:t xml:space="preserve">5.1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400"/>
        <w:gridCol w:w="4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Simple app BP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IHCI → Vaidshala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sync (Simple is open-source, FHIR-compatible). Clinic BP readings flow to ingestion.clinic-bp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BP picture: home readings (Vaidshala) + clinic readings (Simple)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Simple medication records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IHCI → Vaidshala</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FHIR MedicationStatement sync</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Four-pillar status assessment from medications prescribed at facility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 alignment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Vaidshala → Decision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protocol_constraint field loaded per state (state-specific IHCI treatment protocols)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Cards recommend within IHCI protocols, not against them</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Intelligence dashboards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Vaidshala → IHCI program managers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Population Health Layer feeds: trajectory distributions, loss-to-follow-up predictions, titration sequence outcomes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Enhanced analytics on top of IHCI's existing district dashboards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alerts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Vaidshala → ASHA workers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Monitor flags disengaging patients. Alert routed to ASHA worker queue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Proactive re-engagement before full loss-to-follow-up (addressing IHCI's 49% drop-out rate)</w:t>
            </w:r>
          </w:p>
        </w:tc>
      </w:tr>
    </w:tbl>
    <w:p>
      <w:r>
        <w:br w:type="page"/>
      </w:r>
    </w:p>
    <w:p>
      <w:pPr>
        <w:pStyle w:val="Heading1"/>
        <w:spacing w:after="200" w:before="360"/>
      </w:pPr>
      <w:r>
        <w:rPr>
          <w:rFonts w:ascii="Arial" w:cs="Arial" w:eastAsia="Arial" w:hAnsi="Arial"/>
          <w:b/>
          <w:bCs/>
          <w:color w:val="1B3A5C"/>
          <w:sz w:val="32"/>
          <w:szCs w:val="32"/>
        </w:rPr>
        <w:t xml:space="preserve">6. Build Order — Updated Roadmap</w:t>
      </w:r>
    </w:p>
    <w:p>
      <w:pPr>
        <w:spacing w:after="120" w:line="276"/>
      </w:pPr>
      <w:r>
        <w:rPr>
          <w:rFonts w:ascii="Arial" w:cs="Arial" w:eastAsia="Arial" w:hAnsi="Arial"/>
          <w:sz w:val="20"/>
          <w:szCs w:val="20"/>
        </w:rPr>
        <w:t xml:space="preserve">The V3 build order (Workstream A: protocol templates + Workstream B: Tier-1 patient channel) is preserved. V4 adds Workstream C (cardiometabolic extension) that runs in parallel starting Month 3, after the shadow pilot validates the V3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800"/>
        <w:gridCol w:w="22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Metric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V3 Shadow Pilot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Month 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GLYC-1, HTN-1 protocols. Phase 1 signals (S1, S3, S5, S7, S14). Physician Dashboard MVP. 30 patients enrolled.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V-MCU engine (BUILT), Channel B/C (BUILT), KB-20 (BUILT)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HbA1c reduction ≥0.7% at 90d. Physician agreement ≥90%.</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V4 Phase 1: Dual-Loop</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Month 3-5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BP Variability Engine (Flink). Dual-domain state classification in V-MCU. MHRI score (KB-26 extension). Extended KB-24 cross-domain safety checks.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Shadow pilot validated. Phase 2 signals flowing (S8-S13).</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BP control rate improvement. MHRI correlation with clinical outcomes.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V4 Phase 2: Meal + IOR</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Month 5-7</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MealResponseCorrelator (Flink). MealPatternAggregator. Sodium estimation in meal logs. InterventionWindowMonitor. IOR generator batch job. Physician feedback structured capture. Engagement Monitor.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Meal logging UI in app. CGM data flowing for Tier 1 patients.</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≥50 meal-response pairs per CGM patient at 90d. IOR store accumulating.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V4 Phase 3: Phenotyping</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Month 7-9</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Population phenotype clustering (batch ML). Phenotype → therapy mapping. 'Similar patient' insights in Decision Cards. Four-pillar assessment logic in KB-23. IHCI Simple app integration.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≥10,000 patients × ≥90 days longitudinal data.</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Clinically meaningful phenotype clusters (≥3 distinct). Phenotype-informed recommendations accepted at higher rate.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V4 Phase 4: Learning System</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Month 9-12</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IOR-derived outcome predictions in KB-23. Physician acceptance rate optimization. Salt sensitivity phenotyping. Medication titration sequence optimization. Cuffless BP pipeline readiness. Multi-state government deployment.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≥100,000 IOR records. Physician feedback dataset sufficient for pattern detection.</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Recommendation acceptance rate ≥85%. IOR-predicted outcomes within ±20% of observed.</w:t>
            </w:r>
          </w:p>
        </w:tc>
      </w:tr>
    </w:tbl>
    <w:p>
      <w:r>
        <w:br w:type="page"/>
      </w:r>
    </w:p>
    <w:p>
      <w:pPr>
        <w:pStyle w:val="Heading1"/>
        <w:spacing w:after="200" w:before="360"/>
      </w:pPr>
      <w:r>
        <w:rPr>
          <w:rFonts w:ascii="Arial" w:cs="Arial" w:eastAsia="Arial" w:hAnsi="Arial"/>
          <w:b/>
          <w:bCs/>
          <w:color w:val="1B3A5C"/>
          <w:sz w:val="32"/>
          <w:szCs w:val="32"/>
        </w:rPr>
        <w:t xml:space="preserve">7. The Boundary Line — Deterministic vs AI-Assisted (Unchanged)</w:t>
      </w:r>
    </w:p>
    <w:p>
      <w:pPr>
        <w:pBdr>
          <w:left w:val="single" w:color="C62828" w:sz="6" w:space="8"/>
        </w:pBdr>
        <w:spacing w:after="200" w:before="200"/>
        <w:ind w:left="240"/>
      </w:pPr>
      <w:r>
        <w:rPr>
          <w:rFonts w:ascii="Arial" w:cs="Arial" w:eastAsia="Arial" w:hAnsi="Arial"/>
          <w:b/>
          <w:bCs/>
          <w:color w:val="C62828"/>
          <w:sz w:val="22"/>
          <w:szCs w:val="22"/>
        </w:rPr>
        <w:t xml:space="preserve">THE RULE: </w:t>
      </w:r>
      <w:r>
        <w:rPr>
          <w:rFonts w:ascii="Arial" w:cs="Arial" w:eastAsia="Arial" w:hAnsi="Arial"/>
          <w:sz w:val="20"/>
          <w:szCs w:val="20"/>
        </w:rPr>
        <w:t xml:space="preserve">An LLM never decides a patient's medication dose. An LLM never fires a safety rule. An LLM never changes a clinical state value. The four-pillar assessment is deterministic Go code. The BP variability engine is deterministic Flink. The comorbidity interaction detector is deterministic pattern matching. The IOR generator is deterministic batch processing. The engagement monitor is deterministic threshold evaluation. EVERY V4 addition is deterministic with auditable traces. The boundary does not move.</w:t>
      </w:r>
    </w:p>
    <w:p>
      <w:pPr>
        <w:spacing w:after="120" w:line="276"/>
      </w:pPr>
      <w:r>
        <w:rPr>
          <w:rFonts w:ascii="Arial" w:cs="Arial" w:eastAsia="Arial" w:hAnsi="Arial"/>
          <w:sz w:val="20"/>
          <w:szCs w:val="20"/>
        </w:rPr>
        <w:t xml:space="preserve">V4 additions by boundary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V4 Component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DETERMINISTIC (Layer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 CV, dip ratio are mathematical computations on BP readings. No inference.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MealResponseCorrelator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DETERMINISTIC (Layer 2)</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Session window join between meal events and glucose/BP readings. Feature computation (peak, iAUC) is arithmetic.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Four-Pillar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DETERMINISTIC (Layer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Rule-based evaluation: pillar present? contraindicated? indicated? Encoded in protocol YAML.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Dual-Domain Classification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DETERMINISTIC (Layer 3)</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Six-state classification from trajectory signals. Lookup table, not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Generator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DETERMINISTIC (Layer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Batch assembly of snapshots from KB-20. Delta computation is arithmetic. Confounder flagging is rule-based.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Monitor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DETERMINISTIC (Layer 2)</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Threshold evaluation on days-since-last-reading. No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Phenotype Clustering (Phase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OFFLINE ML (Layer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Batch k-means/UMAP on longitudinal features. Runs quarterly. Cluster assignment is a label, not a clinical decision. The decision engine (Layer 3) uses the label deterministically.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Feedback Learning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OFFLINE ANALYSIS (Layer 3)</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Monthly batch analysis of rejection/modification patterns. Rule updates are reviewed by clinical team before deployment. No autonomous learning.</w:t>
            </w:r>
          </w:p>
        </w:tc>
      </w:tr>
    </w:tbl>
    <w:p>
      <w:r>
        <w:br w:type="page"/>
      </w:r>
    </w:p>
    <w:p>
      <w:pPr>
        <w:pStyle w:val="Heading1"/>
        <w:spacing w:after="200" w:before="360"/>
      </w:pPr>
      <w:r>
        <w:rPr>
          <w:rFonts w:ascii="Arial" w:cs="Arial" w:eastAsia="Arial" w:hAnsi="Arial"/>
          <w:b/>
          <w:bCs/>
          <w:color w:val="1B3A5C"/>
          <w:sz w:val="32"/>
          <w:szCs w:val="32"/>
        </w:rPr>
        <w:t xml:space="preserve">8. Deep-Dive Index — Follow-Up Chat Topics</w:t>
      </w:r>
    </w:p>
    <w:p>
      <w:pPr>
        <w:spacing w:after="120" w:line="276"/>
      </w:pPr>
      <w:r>
        <w:rPr>
          <w:rFonts w:ascii="Arial" w:cs="Arial" w:eastAsia="Arial" w:hAnsi="Arial"/>
          <w:sz w:val="20"/>
          <w:szCs w:val="20"/>
        </w:rPr>
        <w:t xml:space="preserve">Each subsystem below warrants a dedicated deep-dive session. This document is the North Star; the deep-dives are implementation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400"/>
        <w:gridCol w:w="25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BP Variability Flink Job</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Detailed Avro schema, ARV computation algorithm, morning surge detection, dipping pattern from twice-daily readings, emergency bypass for SBP &gt; 180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HIGH — enables dual-loop</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MealResponseCorrelator + Sodium-BP Pipeline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Three-tier processing logic, IFCT 2017 sodium lookup, paired meal-BP analysis, salt sensitivity phenotype classification algorithm</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HIGH — starts flywheel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Four-Pillar Decision Logic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Complete rule tree for pillar assessment, contraindication matrix, sequencing logic (which pillar to add next), cost-tier adjustments by channel, interaction with existing GLYC-1/HTN-1/RENAL-1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HIGH — core clinical value</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IOR Schema + Generator</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Avro/Protobuf schema definitions, batch job architecture, confounder capture, adherence assessment computation, IOR store query patterns for KB-23</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HIGH — strategic asset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Dual-Domain Decision Card Generator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How KB-23 weighs glucose vs BP interventions, resolves conflicting recommendations, ranks multi-domain interventions, generates 'similar patient' insights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MEDIUM — builds on #3 and #4</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IHCI Integration Layer</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Simple app API spec, state protocol constraint loading, facility-level dashboard feeds, ASHA worker alert routing</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MEDIUM — government channel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MHRI Score Computation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Component weights, normalization per domain, trajectory computation, calibration plan against clinical outcomes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MEDIUM — extends existing MRI</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8</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Engagement Monitor</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Cross-signal threshold logic, channel-specific thresholds, re-engagement workflow, ASHA worker queue integration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MEDIUM — retention improvement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Population Phenotype Clustering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Feature engineering from KB-20 longitudinal data, clustering methodology (k-means vs UMAP), cluster validation, phenotype-to-therapy mapping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LOWER — Phase 3</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10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Physician Feedback Learning Pipeline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Rejection pattern detection, modification pattern learning, safety rule enrichment from CONTRAINDICATION_KNOWN rejections, acceptance rate dashboards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7"/>
                <w:szCs w:val="17"/>
              </w:rPr>
              <w:t xml:space="preserve">LOWER — Phase 4</w:t>
            </w:r>
          </w:p>
        </w:tc>
      </w:tr>
    </w:tbl>
    <w:p>
      <w:pPr>
        <w:spacing w:after="200" w:before="400"/>
      </w:pPr>
      <w:r>
        <w:rPr>
          <w:rFonts w:ascii="Arial" w:cs="Arial" w:eastAsia="Arial" w:hAnsi="Arial"/>
          <w:i/>
          <w:iCs/>
          <w:color w:val="888888"/>
          <w:sz w:val="20"/>
          <w:szCs w:val="20"/>
        </w:rPr>
        <w:t xml:space="preserve">End of North Star Document</w:t>
      </w:r>
    </w:p>
    <w:p>
      <w:r>
        <w:rPr>
          <w:rFonts w:ascii="Arial" w:cs="Arial" w:eastAsia="Arial" w:hAnsi="Arial"/>
          <w:color w:val="888888"/>
          <w:sz w:val="18"/>
          <w:szCs w:val="18"/>
        </w:rPr>
        <w:t xml:space="preserve">This document supersedes the V3 Master Architecture, Clinical Signal Capture Layer, and Kafka Topic Architecture documents. Those documents remain valid references for V3-era module details. All V4 extensions are additive — nothing in V3 is removed or replaced.</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March 2026  |  Engineering Confidential  |  Supersedes V3 Master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North Star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2026-03-25T05:42:34.234Z</dcterms:created>
  <dcterms:modified xsi:type="dcterms:W3CDTF">2026-03-25T05:42:34.235Z</dcterms:modified>
</cp:coreProperties>
</file>

<file path=docProps/custom.xml><?xml version="1.0" encoding="utf-8"?>
<Properties xmlns="http://schemas.openxmlformats.org/officeDocument/2006/custom-properties" xmlns:vt="http://schemas.openxmlformats.org/officeDocument/2006/docPropsVTypes"/>
</file>