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B3A5C"/>
          <w:sz w:val="48"/>
          <w:szCs w:val="48"/>
        </w:rPr>
        <w:t xml:space="preserve">Vaidshala Kafka Topic Architecture</w:t>
      </w:r>
    </w:p>
    <w:p>
      <w:pPr>
        <w:spacing w:after="60"/>
        <w:jc w:val="center"/>
      </w:pPr>
      <w:r>
        <w:rPr>
          <w:rFonts w:ascii="Arial" w:cs="Arial" w:eastAsia="Arial" w:hAnsi="Arial"/>
          <w:color w:val="2E75B6"/>
          <w:sz w:val="26"/>
          <w:szCs w:val="26"/>
        </w:rPr>
        <w:t xml:space="preserve">Production-Grade Event Streaming Design for Clinical Intelligence at Scale</w:t>
      </w:r>
    </w:p>
    <w:p>
      <w:pPr>
        <w:spacing w:after="60"/>
        <w:jc w:val="center"/>
      </w:pPr>
      <w:r>
        <w:rPr>
          <w:rFonts w:ascii="Arial" w:cs="Arial" w:eastAsia="Arial" w:hAnsi="Arial"/>
          <w:b/>
          <w:bCs/>
          <w:color w:val="2E7D32"/>
          <w:sz w:val="22"/>
          <w:szCs w:val="22"/>
        </w:rPr>
        <w:t xml:space="preserve">Designed for: 1K → 100K → 1M+ Patients Without Re-Architecture</w:t>
      </w:r>
    </w:p>
    <w:p>
      <w:pPr>
        <w:spacing w:after="120"/>
        <w:jc w:val="center"/>
      </w:pPr>
      <w:r>
        <w:rPr>
          <w:rFonts w:ascii="Arial" w:cs="Arial" w:eastAsia="Arial" w:hAnsi="Arial"/>
          <w:b/>
          <w:bCs/>
          <w:color w:val="E65100"/>
          <w:sz w:val="17"/>
          <w:szCs w:val="17"/>
        </w:rPr>
        <w:t xml:space="preserve">Covers: Topic Taxonomy · Partition Sizing Formula · Priority Routing · Consumer Groups · Flink Integration · Schema Evolution · Data Lake Offload · Scaling Projections</w:t>
      </w:r>
    </w:p>
    <w:p>
      <w:pPr>
        <w:spacing w:after="400"/>
        <w:jc w:val="center"/>
      </w:pPr>
      <w:r>
        <w:rPr>
          <w:rFonts w:ascii="Arial" w:cs="Arial" w:eastAsia="Arial" w:hAnsi="Arial"/>
          <w:color w:val="90A4AE"/>
          <w:sz w:val="18"/>
          <w:szCs w:val="18"/>
        </w:rPr>
        <w:t xml:space="preserve">Version 1.0  |  March 2026  |  ENGINEERING CONFIDENTIAL</w:t>
      </w:r>
    </w:p>
    <w:p>
      <w:r>
        <w:br w:type="page"/>
      </w:r>
    </w:p>
    <w:p>
      <w:pPr>
        <w:pStyle w:val="Heading1"/>
        <w:spacing w:after="200" w:before="400"/>
      </w:pPr>
      <w:r>
        <w:rPr>
          <w:rFonts w:ascii="Arial" w:cs="Arial" w:eastAsia="Arial" w:hAnsi="Arial"/>
          <w:b/>
          <w:bCs/>
          <w:color w:val="1B3A5C"/>
          <w:sz w:val="30"/>
          <w:szCs w:val="30"/>
        </w:rPr>
        <w:t xml:space="preserve">1. Review of the Architect’s Kafka Topic Proposal</w:t>
      </w:r>
    </w:p>
    <w:p>
      <w:pPr>
        <w:spacing w:after="120"/>
      </w:pPr>
      <w:r>
        <w:rPr>
          <w:rFonts w:ascii="Arial" w:cs="Arial" w:eastAsia="Arial" w:hAnsi="Arial"/>
          <w:color w:val="546E7A"/>
          <w:sz w:val="20"/>
          <w:szCs w:val="20"/>
        </w:rPr>
        <w:t xml:space="preserve">The architect’s proposal outlines 8–10 core topics with patient_id partitioning. The design principles (event immutability, patient affinity, domain separation) are correct. However, the topic structure has five problems that will cause operational pain at scale and clinical safety gaps under load.</w:t>
      </w:r>
    </w:p>
    <w:p>
      <w:pPr>
        <w:spacing w:after="60"/>
      </w:pPr>
    </w:p>
    <w:p>
      <w:pPr>
        <w:pStyle w:val="Heading2"/>
        <w:spacing w:after="140" w:before="280"/>
      </w:pPr>
      <w:r>
        <w:rPr>
          <w:rFonts w:ascii="Arial" w:cs="Arial" w:eastAsia="Arial" w:hAnsi="Arial"/>
          <w:b/>
          <w:bCs/>
          <w:color w:val="2E75B6"/>
          <w:sz w:val="24"/>
          <w:szCs w:val="24"/>
        </w:rPr>
        <w:t xml:space="preserve">1.1 Problem 1: Monolithic Observation Topic</w:t>
      </w:r>
    </w:p>
    <w:p>
      <w:pPr>
        <w:pBdr>
          <w:left w:val="single" w:color="C62828" w:sz="12" w:space="8"/>
        </w:pBdr>
        <w:shd w:fill="FFEBEE" w:val="clear"/>
        <w:spacing w:after="100" w:before="100"/>
      </w:pPr>
      <w:r>
        <w:rPr>
          <w:rFonts w:ascii="Arial" w:cs="Arial" w:eastAsia="Arial" w:hAnsi="Arial"/>
          <w:color w:val="37474F"/>
          <w:sz w:val="19"/>
          <w:szCs w:val="19"/>
        </w:rPr>
        <w:t xml:space="preserve">CRITICAL: patient.observations.raw lumps labs, vitals, self-reports, device data, and wearable aggregates into a single topic. This is the most consequential error in the design. At 1M patients generating an average of 8 observations/day = 8M events/day on ONE topic. A critical eGFR &lt; 30 reading sits behind 3M routine step-count events in the same partition queue. Lab results that require &lt;5 minute processing latency share a topic with daily wearable aggregates that tolerate hours of delay.</w:t>
      </w:r>
    </w:p>
    <w:p>
      <w:pPr>
        <w:spacing w:after="80"/>
      </w:pPr>
      <w:r>
        <w:rPr>
          <w:rFonts w:ascii="Arial" w:cs="Arial" w:eastAsia="Arial" w:hAnsi="Arial"/>
          <w:b/>
          <w:bCs/>
          <w:color w:val="1B3A5C"/>
          <w:sz w:val="20"/>
          <w:szCs w:val="20"/>
        </w:rPr>
        <w:t xml:space="preserve">Fix: </w:t>
      </w:r>
      <w:r>
        <w:rPr>
          <w:rFonts w:ascii="Arial" w:cs="Arial" w:eastAsia="Arial" w:hAnsi="Arial"/>
          <w:color w:val="546E7A"/>
          <w:sz w:val="20"/>
          <w:szCs w:val="20"/>
        </w:rPr>
        <w:t xml:space="preserve">Split by clinical data category AND processing urgency. Seven source-specific ingestion topics (as defined in our ingestion service guide) instead of one monolithic topic. Each topic has its own retention, partition count, and consumer group configuration tuned to its clinical semantics and volume profile.</w:t>
      </w:r>
    </w:p>
    <w:p>
      <w:pPr>
        <w:spacing w:after="60"/>
      </w:pPr>
    </w:p>
    <w:p>
      <w:pPr>
        <w:pStyle w:val="Heading2"/>
        <w:spacing w:after="140" w:before="280"/>
      </w:pPr>
      <w:r>
        <w:rPr>
          <w:rFonts w:ascii="Arial" w:cs="Arial" w:eastAsia="Arial" w:hAnsi="Arial"/>
          <w:b/>
          <w:bCs/>
          <w:color w:val="2E75B6"/>
          <w:sz w:val="24"/>
          <w:szCs w:val="24"/>
        </w:rPr>
        <w:t xml:space="preserve">1.2 Problem 2: No Priority Routing Mechanism</w:t>
      </w:r>
    </w:p>
    <w:p>
      <w:pPr>
        <w:pBdr>
          <w:left w:val="single" w:color="C62828" w:sz="12" w:space="8"/>
        </w:pBdr>
        <w:shd w:fill="FFEBEE" w:val="clear"/>
        <w:spacing w:after="100" w:before="100"/>
      </w:pPr>
      <w:r>
        <w:rPr>
          <w:rFonts w:ascii="Arial" w:cs="Arial" w:eastAsia="Arial" w:hAnsi="Arial"/>
          <w:color w:val="37474F"/>
          <w:sz w:val="19"/>
          <w:szCs w:val="19"/>
        </w:rPr>
        <w:t xml:space="preserve">CRITICAL: The architect acknowledges clinical alerts need priority but only creates a separate patient.alerts.clinical topic for events AFTER they’ve been detected by the reasoning engine. The problem is earlier: a glucose reading of 380 mg/dL enters the pipeline as a routine observation in patient.observations.raw and must wait behind routine events in the same partition before Flink or KB-22 can detect it’s critical. The alert fires late — potentially minutes late under load.</w:t>
      </w:r>
    </w:p>
    <w:p>
      <w:pPr>
        <w:spacing w:after="80"/>
      </w:pPr>
      <w:r>
        <w:rPr>
          <w:rFonts w:ascii="Arial" w:cs="Arial" w:eastAsia="Arial" w:hAnsi="Arial"/>
          <w:b/>
          <w:bCs/>
          <w:color w:val="1B3A5C"/>
          <w:sz w:val="20"/>
          <w:szCs w:val="20"/>
        </w:rPr>
        <w:t xml:space="preserve">Fix: </w:t>
      </w:r>
      <w:r>
        <w:rPr>
          <w:rFonts w:ascii="Arial" w:cs="Arial" w:eastAsia="Arial" w:hAnsi="Arial"/>
          <w:color w:val="546E7A"/>
          <w:sz w:val="20"/>
          <w:szCs w:val="20"/>
        </w:rPr>
        <w:t xml:space="preserve">Priority partition routing at the outbox relay level. Critical values (eGFR &lt; 30, FBG &gt; 300, K+ &gt; 6.0, SBP &gt; 180) are routed to a dedicated high-priority topic (ingestion.safety-critical) by the ingestion service’s validator stage BEFORE the data enters the normal pipeline. KB-22 has a dedicated consumer for this topic with the highest poll frequency. The critical value bypasses normal ordering.</w:t>
      </w:r>
    </w:p>
    <w:p>
      <w:pPr>
        <w:spacing w:after="60"/>
      </w:pPr>
    </w:p>
    <w:p>
      <w:pPr>
        <w:pStyle w:val="Heading2"/>
        <w:spacing w:after="140" w:before="280"/>
      </w:pPr>
      <w:r>
        <w:rPr>
          <w:rFonts w:ascii="Arial" w:cs="Arial" w:eastAsia="Arial" w:hAnsi="Arial"/>
          <w:b/>
          <w:bCs/>
          <w:color w:val="2E75B6"/>
          <w:sz w:val="24"/>
          <w:szCs w:val="24"/>
        </w:rPr>
        <w:t xml:space="preserve">1.3 Problem 3: CGM Raw Data Not Addressed</w:t>
      </w:r>
    </w:p>
    <w:p>
      <w:pPr>
        <w:pBdr>
          <w:left w:val="single" w:color="E65100" w:sz="12" w:space="8"/>
        </w:pBdr>
        <w:shd w:fill="FFF8E1" w:val="clear"/>
        <w:spacing w:after="100" w:before="100"/>
      </w:pPr>
      <w:r>
        <w:rPr>
          <w:rFonts w:ascii="Arial" w:cs="Arial" w:eastAsia="Arial" w:hAnsi="Arial"/>
          <w:color w:val="37474F"/>
          <w:sz w:val="19"/>
          <w:szCs w:val="19"/>
        </w:rPr>
        <w:t xml:space="preserve">GAP: No topic for raw CGM data. A single CGM patient (Ultrahuman M1) generates 288 readings/day (every 5 minutes). At 10,000 CGM patients: 2.88M events/day from CGM alone. These are high-volume, low-urgency, aggregation-required events that should NEVER be mixed with lab results or vitals. They need their own topic with short retention (7 days) and a dedicated Flink aggregation job.</w:t>
      </w:r>
    </w:p>
    <w:p>
      <w:pPr>
        <w:spacing w:after="60"/>
      </w:pPr>
    </w:p>
    <w:p>
      <w:pPr>
        <w:pStyle w:val="Heading2"/>
        <w:spacing w:after="140" w:before="280"/>
      </w:pPr>
      <w:r>
        <w:rPr>
          <w:rFonts w:ascii="Arial" w:cs="Arial" w:eastAsia="Arial" w:hAnsi="Arial"/>
          <w:b/>
          <w:bCs/>
          <w:color w:val="2E75B6"/>
          <w:sz w:val="24"/>
          <w:szCs w:val="24"/>
        </w:rPr>
        <w:t xml:space="preserve">1.4 Problem 4: Partition Counts Are Arbitrary</w:t>
      </w:r>
    </w:p>
    <w:p>
      <w:pPr>
        <w:pBdr>
          <w:left w:val="single" w:color="E65100" w:sz="12" w:space="8"/>
        </w:pBdr>
        <w:shd w:fill="FFF8E1" w:val="clear"/>
        <w:spacing w:after="100" w:before="100"/>
      </w:pPr>
      <w:r>
        <w:rPr>
          <w:rFonts w:ascii="Arial" w:cs="Arial" w:eastAsia="Arial" w:hAnsi="Arial"/>
          <w:color w:val="37474F"/>
          <w:sz w:val="19"/>
          <w:szCs w:val="19"/>
        </w:rPr>
        <w:t xml:space="preserve">GAP: The proposal suggests 24 partitions for observations, 12 for signals, 6 for alerts — without any sizing rationale. Partition count should be derived from: (1) target throughput per partition (≤ 1MB/s per partition for sustainable performance), (2) number of Flink task slots that will consume the topic, (3) maximum acceptable rebalance time. At 1M patients, the calculation changes dramatically from 1K patients. The design must include a partition sizing formula so the team can resize confidently as scale increases.</w:t>
      </w:r>
    </w:p>
    <w:p>
      <w:pPr>
        <w:spacing w:after="60"/>
      </w:pPr>
    </w:p>
    <w:p>
      <w:pPr>
        <w:pStyle w:val="Heading2"/>
        <w:spacing w:after="140" w:before="280"/>
      </w:pPr>
      <w:r>
        <w:rPr>
          <w:rFonts w:ascii="Arial" w:cs="Arial" w:eastAsia="Arial" w:hAnsi="Arial"/>
          <w:b/>
          <w:bCs/>
          <w:color w:val="2E75B6"/>
          <w:sz w:val="24"/>
          <w:szCs w:val="24"/>
        </w:rPr>
        <w:t xml:space="preserve">1.5 Problem 5: No Intake Service Events</w:t>
      </w:r>
    </w:p>
    <w:p>
      <w:pPr>
        <w:pBdr>
          <w:left w:val="single" w:color="E65100" w:sz="12" w:space="8"/>
        </w:pBdr>
        <w:shd w:fill="FFF8E1" w:val="clear"/>
        <w:spacing w:after="100" w:before="100"/>
      </w:pPr>
      <w:r>
        <w:rPr>
          <w:rFonts w:ascii="Arial" w:cs="Arial" w:eastAsia="Arial" w:hAnsi="Arial"/>
          <w:color w:val="37474F"/>
          <w:sz w:val="19"/>
          <w:szCs w:val="19"/>
        </w:rPr>
        <w:t xml:space="preserve">GAP: The proposal covers ingestion-side topics but completely omits intake service events: slot fills, safety alerts, enrollment completions, check-in events. These are a distinct event domain with different consumers, different priorities, and different retention requirements. Intake safety alerts (HARD_STOPs) are as time-critical as lab critical values — they need the same priority treatment.</w:t>
      </w:r>
    </w:p>
    <w:p>
      <w:r>
        <w:br w:type="page"/>
      </w:r>
    </w:p>
    <w:p>
      <w:pPr>
        <w:pStyle w:val="Heading1"/>
        <w:spacing w:after="200" w:before="400"/>
      </w:pPr>
      <w:r>
        <w:rPr>
          <w:rFonts w:ascii="Arial" w:cs="Arial" w:eastAsia="Arial" w:hAnsi="Arial"/>
          <w:b/>
          <w:bCs/>
          <w:color w:val="1B3A5C"/>
          <w:sz w:val="30"/>
          <w:szCs w:val="30"/>
        </w:rPr>
        <w:t xml:space="preserve">2. Design Principles</w:t>
      </w:r>
    </w:p>
    <w:p>
      <w:pPr>
        <w:spacing w:after="60"/>
      </w:pPr>
    </w:p>
    <w:p>
      <w:pPr>
        <w:pStyle w:val="Heading2"/>
        <w:spacing w:after="140" w:before="280"/>
      </w:pPr>
      <w:r>
        <w:rPr>
          <w:rFonts w:ascii="Arial" w:cs="Arial" w:eastAsia="Arial" w:hAnsi="Arial"/>
          <w:b/>
          <w:bCs/>
          <w:color w:val="2E75B6"/>
          <w:sz w:val="24"/>
          <w:szCs w:val="24"/>
        </w:rPr>
        <w:t xml:space="preserve">Principle 1: Split by Clinical Domain, Not Just ‘Raw vs Derived’</w:t>
      </w:r>
    </w:p>
    <w:p>
      <w:pPr>
        <w:spacing w:after="120"/>
      </w:pPr>
      <w:r>
        <w:rPr>
          <w:rFonts w:ascii="Arial" w:cs="Arial" w:eastAsia="Arial" w:hAnsi="Arial"/>
          <w:color w:val="546E7A"/>
          <w:sz w:val="20"/>
          <w:szCs w:val="20"/>
        </w:rPr>
        <w:t xml:space="preserve">Clinical data has inherently different urgency, volume, retention, and consumer profiles by domain. Lab results are authoritative, low-volume, and require long retention. Wearable data is high-volume, moderate-authority, and tolerates short retention. CGM data is extremely high-volume, requires aggregation before downstream use, and has very short retention for raw form. Grouping these into one topic destroys the ability to tune each independently.</w:t>
      </w:r>
    </w:p>
    <w:p>
      <w:pPr>
        <w:spacing w:after="60"/>
      </w:pPr>
    </w:p>
    <w:p>
      <w:pPr>
        <w:pStyle w:val="Heading2"/>
        <w:spacing w:after="140" w:before="280"/>
      </w:pPr>
      <w:r>
        <w:rPr>
          <w:rFonts w:ascii="Arial" w:cs="Arial" w:eastAsia="Arial" w:hAnsi="Arial"/>
          <w:b/>
          <w:bCs/>
          <w:color w:val="2E75B6"/>
          <w:sz w:val="24"/>
          <w:szCs w:val="24"/>
        </w:rPr>
        <w:t xml:space="preserve">Principle 2: Priority Routing Is a Source-Side Concern, Not Sink-Side</w:t>
      </w:r>
    </w:p>
    <w:p>
      <w:pPr>
        <w:spacing w:after="120"/>
      </w:pPr>
      <w:r>
        <w:rPr>
          <w:rFonts w:ascii="Arial" w:cs="Arial" w:eastAsia="Arial" w:hAnsi="Arial"/>
          <w:color w:val="546E7A"/>
          <w:sz w:val="20"/>
          <w:szCs w:val="20"/>
        </w:rPr>
        <w:t xml:space="preserve">The architect’s design detects critical values downstream (after Flink/KB-22 processing) and publishes them to an alert topic. This is too late. The ingestion service ALREADY knows when a glucose reading is 380 mg/dL — it checks clinical range thresholds during the validation stage. The critical routing must happen at the outbox relay level, not at the Flink output. This means: critical values enter a dedicated topic that KB-22 consumes with a faster poll cycle. The critical path is: ingestion validator detects critical value → outbox with priority=critical → relay publishes to ingestion.safety-critical topic → KB-22 dedicated consumer fires within seconds.</w:t>
      </w:r>
    </w:p>
    <w:p>
      <w:pPr>
        <w:spacing w:after="60"/>
      </w:pPr>
    </w:p>
    <w:p>
      <w:pPr>
        <w:pStyle w:val="Heading2"/>
        <w:spacing w:after="140" w:before="280"/>
      </w:pPr>
      <w:r>
        <w:rPr>
          <w:rFonts w:ascii="Arial" w:cs="Arial" w:eastAsia="Arial" w:hAnsi="Arial"/>
          <w:b/>
          <w:bCs/>
          <w:color w:val="2E75B6"/>
          <w:sz w:val="24"/>
          <w:szCs w:val="24"/>
        </w:rPr>
        <w:t xml:space="preserve">Principle 3: Partition by patient_id Everywhere</w:t>
      </w:r>
    </w:p>
    <w:p>
      <w:pPr>
        <w:spacing w:after="120"/>
      </w:pPr>
      <w:r>
        <w:rPr>
          <w:rFonts w:ascii="Arial" w:cs="Arial" w:eastAsia="Arial" w:hAnsi="Arial"/>
          <w:color w:val="546E7A"/>
          <w:sz w:val="20"/>
          <w:szCs w:val="20"/>
        </w:rPr>
        <w:t xml:space="preserve">Every clinical topic uses patient_id as the Kafka partition key. This gives: (1) per-patient temporal ordering (a patient’s FBG reading always arrives after their preceding meal event in the same partition), (2) Flink keyed state efficiency (all events for one patient processed by the same Flink task slot, no cross-partition shuffles), (3) consumer locality (a single consumer instance handles all events for a set of patients, maintaining hot state in local memory).</w:t>
      </w:r>
    </w:p>
    <w:p>
      <w:pPr>
        <w:spacing w:after="60"/>
      </w:pPr>
    </w:p>
    <w:p>
      <w:pPr>
        <w:pStyle w:val="Heading2"/>
        <w:spacing w:after="140" w:before="280"/>
      </w:pPr>
      <w:r>
        <w:rPr>
          <w:rFonts w:ascii="Arial" w:cs="Arial" w:eastAsia="Arial" w:hAnsi="Arial"/>
          <w:b/>
          <w:bCs/>
          <w:color w:val="2E75B6"/>
          <w:sz w:val="24"/>
          <w:szCs w:val="24"/>
        </w:rPr>
        <w:t xml:space="preserve">Principle 4: Partition Count = f(throughput, consumer parallelism, patient cardinality)</w:t>
      </w:r>
    </w:p>
    <w:p>
      <w:pPr>
        <w:spacing w:after="120"/>
      </w:pPr>
      <w:r>
        <w:rPr>
          <w:rFonts w:ascii="Arial" w:cs="Arial" w:eastAsia="Arial" w:hAnsi="Arial"/>
          <w:color w:val="546E7A"/>
          <w:sz w:val="20"/>
          <w:szCs w:val="20"/>
        </w:rPr>
        <w:t xml:space="preserve">Partition count is not a guess. Formula: P = max(T / Tp, C, ceil(N / Np)) where T = target peak throughput (MB/s), Tp = throughput per partition (1 MB/s sustainable), C = maximum consumer parallelism needed, N = expected patient count, Np = patients per partition (target: 1,000–10,000 patients per partition for even distribution). Initial sizing is for 10K patients; scaling plan specifies when and how to repartition for 100K and 1M.</w:t>
      </w:r>
    </w:p>
    <w:p>
      <w:pPr>
        <w:spacing w:after="60"/>
      </w:pPr>
    </w:p>
    <w:p>
      <w:pPr>
        <w:pStyle w:val="Heading2"/>
        <w:spacing w:after="140" w:before="280"/>
      </w:pPr>
      <w:r>
        <w:rPr>
          <w:rFonts w:ascii="Arial" w:cs="Arial" w:eastAsia="Arial" w:hAnsi="Arial"/>
          <w:b/>
          <w:bCs/>
          <w:color w:val="2E75B6"/>
          <w:sz w:val="24"/>
          <w:szCs w:val="24"/>
        </w:rPr>
        <w:t xml:space="preserve">Principle 5: Three Retention Tiers</w:t>
      </w:r>
    </w:p>
    <w:p>
      <w:pPr>
        <w:spacing w:after="80"/>
      </w:pPr>
      <w:r>
        <w:rPr>
          <w:rFonts w:ascii="Arial" w:cs="Arial" w:eastAsia="Arial" w:hAnsi="Arial"/>
          <w:b/>
          <w:bCs/>
          <w:color w:val="1B3A5C"/>
          <w:sz w:val="20"/>
          <w:szCs w:val="20"/>
        </w:rPr>
        <w:t xml:space="preserve">Tier 1 — Hot (7–30 days): </w:t>
      </w:r>
      <w:r>
        <w:rPr>
          <w:rFonts w:ascii="Arial" w:cs="Arial" w:eastAsia="Arial" w:hAnsi="Arial"/>
          <w:color w:val="546E7A"/>
          <w:sz w:val="20"/>
          <w:szCs w:val="20"/>
        </w:rPr>
        <w:t xml:space="preserve">Active clinical data in Kafka. Consumed by real-time Flink jobs, KB services, dashboards. This is the operational window.</w:t>
      </w:r>
    </w:p>
    <w:p>
      <w:pPr>
        <w:spacing w:after="80"/>
      </w:pPr>
      <w:r>
        <w:rPr>
          <w:rFonts w:ascii="Arial" w:cs="Arial" w:eastAsia="Arial" w:hAnsi="Arial"/>
          <w:b/>
          <w:bCs/>
          <w:color w:val="1B3A5C"/>
          <w:sz w:val="20"/>
          <w:szCs w:val="20"/>
        </w:rPr>
        <w:t xml:space="preserve">Tier 2 — Warm (90–180 days): </w:t>
      </w:r>
      <w:r>
        <w:rPr>
          <w:rFonts w:ascii="Arial" w:cs="Arial" w:eastAsia="Arial" w:hAnsi="Arial"/>
          <w:color w:val="546E7A"/>
          <w:sz w:val="20"/>
          <w:szCs w:val="20"/>
        </w:rPr>
        <w:t xml:space="preserve">Regulatory retention in Kafka. Required for: medical record audit trails, ABDM compliance, insurance claims data, IRDAI reporting. Topics with regulatory relevance get 180-day retention.</w:t>
      </w:r>
    </w:p>
    <w:p>
      <w:pPr>
        <w:spacing w:after="80"/>
      </w:pPr>
      <w:r>
        <w:rPr>
          <w:rFonts w:ascii="Arial" w:cs="Arial" w:eastAsia="Arial" w:hAnsi="Arial"/>
          <w:b/>
          <w:bCs/>
          <w:color w:val="1B3A5C"/>
          <w:sz w:val="20"/>
          <w:szCs w:val="20"/>
        </w:rPr>
        <w:t xml:space="preserve">Tier 3 — Cold (1–7 years): </w:t>
      </w:r>
      <w:r>
        <w:rPr>
          <w:rFonts w:ascii="Arial" w:cs="Arial" w:eastAsia="Arial" w:hAnsi="Arial"/>
          <w:color w:val="546E7A"/>
          <w:sz w:val="20"/>
          <w:szCs w:val="20"/>
        </w:rPr>
        <w:t xml:space="preserve">Long-term archival offloaded from Kafka to S3/Apache Iceberg via Flink sink job. Indian medical record retention: 3 years minimum per MCI guidelines, 7 years recommended. Population analytics queries run against Iceberg tables, not Kafka.</w:t>
      </w:r>
    </w:p>
    <w:p>
      <w:r>
        <w:br w:type="page"/>
      </w:r>
    </w:p>
    <w:p>
      <w:pPr>
        <w:pStyle w:val="Heading1"/>
        <w:spacing w:after="200" w:before="400"/>
      </w:pPr>
      <w:r>
        <w:rPr>
          <w:rFonts w:ascii="Arial" w:cs="Arial" w:eastAsia="Arial" w:hAnsi="Arial"/>
          <w:b/>
          <w:bCs/>
          <w:color w:val="1B3A5C"/>
          <w:sz w:val="30"/>
          <w:szCs w:val="30"/>
        </w:rPr>
        <w:t xml:space="preserve">3. Complete Topic Taxonomy: 18 Topics in 5 Layers</w:t>
      </w:r>
    </w:p>
    <w:p>
      <w:pPr>
        <w:spacing w:after="120"/>
      </w:pPr>
      <w:r>
        <w:rPr>
          <w:rFonts w:ascii="Arial" w:cs="Arial" w:eastAsia="Arial" w:hAnsi="Arial"/>
          <w:color w:val="546E7A"/>
          <w:sz w:val="20"/>
          <w:szCs w:val="20"/>
        </w:rPr>
        <w:t xml:space="preserve">The architecture is organized into five layers, from raw inbound events to downstream analytics. Each layer has distinct topics with specific purposes, consumers, and retention policies.</w:t>
      </w:r>
    </w:p>
    <w:p>
      <w:pPr>
        <w:spacing w:after="60"/>
      </w:pPr>
    </w:p>
    <w:p>
      <w:pPr>
        <w:pStyle w:val="Heading2"/>
        <w:spacing w:after="140" w:before="280"/>
      </w:pPr>
      <w:r>
        <w:rPr>
          <w:rFonts w:ascii="Arial" w:cs="Arial" w:eastAsia="Arial" w:hAnsi="Arial"/>
          <w:b/>
          <w:bCs/>
          <w:color w:val="2E75B6"/>
          <w:sz w:val="24"/>
          <w:szCs w:val="24"/>
        </w:rPr>
        <w:t xml:space="preserve">Layer 1: Ingestion Events (Source → Kafka)</w:t>
      </w:r>
    </w:p>
    <w:p>
      <w:pPr>
        <w:spacing w:after="120"/>
      </w:pPr>
      <w:r>
        <w:rPr>
          <w:rFonts w:ascii="Arial" w:cs="Arial" w:eastAsia="Arial" w:hAnsi="Arial"/>
          <w:color w:val="546E7A"/>
          <w:sz w:val="20"/>
          <w:szCs w:val="20"/>
        </w:rPr>
        <w:t xml:space="preserve">Events published by the Ingestion Service via transactional outbox. One topic per clinical data category. These are the raw, normalized, FHIR-mapped events entering the platform.</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600"/>
        <w:gridCol w:w="700"/>
        <w:gridCol w:w="700"/>
        <w:gridCol w:w="700"/>
        <w:gridCol w:w="700"/>
        <w:gridCol w:w="900"/>
        <w:gridCol w:w="1400"/>
        <w:gridCol w:w="4680"/>
      </w:tblGrid>
      <w:tr>
        <w:tc>
          <w:tcPr>
            <w:tcW w:type="dxa" w:w="1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Topic</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1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Content</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 Key</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(10K)</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(1M)</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Retention</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Priority Routing</w:t>
            </w:r>
          </w:p>
        </w:tc>
        <w:tc>
          <w:tcPr>
            <w:tcW w:type="dxa" w:w="1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Volume Estimate (1M patients)</w:t>
            </w:r>
          </w:p>
        </w:tc>
        <w:tc>
          <w:tcPr>
            <w:tcW w:type="dxa" w:w="46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Consumers</w:t>
            </w:r>
          </w:p>
        </w:tc>
      </w:tr>
      <w:tr>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ingestion.labs</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Lab results: FBG, HbA1c, eGFR, lipids, UACR, potassium, creatinine. LOINC-coded FHIR Observations wrapped in DiagnosticReport.</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180 days (regulatory: insurance claims, ABDM)</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Critical values (eGFR&lt;30, K+&gt;6.0) ALSO published to ingestion.safety-critical</w:t>
            </w:r>
          </w:p>
        </w:tc>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~200K events/day (0.2 lab results/patient/day average, spiky around lab cycles)</w:t>
            </w:r>
          </w:p>
        </w:tc>
        <w:tc>
          <w:tcPr>
            <w:tcW w:type="dxa" w:w="4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(store), KB-22 (monitoring), Flink trajectory job, Flink MRI trigger job</w:t>
            </w:r>
          </w:p>
        </w:tc>
      </w:tr>
      <w:tr>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ingestion.vitals</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BP (systolic+diastolic), HR, SpO2. From devices and self-reports.</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SBP&gt;180 or DBP&gt;120 ALSO to ingestion.safety-critical</w:t>
            </w:r>
          </w:p>
        </w:tc>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~2M events/day (2 BP readings/day/patient average)</w:t>
            </w:r>
          </w:p>
        </w:tc>
        <w:tc>
          <w:tcPr>
            <w:tcW w:type="dxa" w:w="4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KB-20, KB-26 (twin), Flink MRI trigger, Flink deterioration job</w:t>
            </w:r>
          </w:p>
        </w:tc>
      </w:tr>
      <w:tr>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ingestion.patient-reported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FBG, PPBG, steps, meal quality, medication adherence, waist, weight from app checkins and WhatsApp Tier-1.</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32</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FBG&gt;300 ALSO to safety-critical</w:t>
            </w:r>
          </w:p>
        </w:tc>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~5M events/day (5 self-reports/patient/day)</w:t>
            </w:r>
          </w:p>
        </w:tc>
        <w:tc>
          <w:tcPr>
            <w:tcW w:type="dxa" w:w="4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KB-21 (behavioral), Flink trajectory job</w:t>
            </w:r>
          </w:p>
        </w:tc>
      </w:tr>
      <w:tr>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ingestion.device-data</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BLE device readings relayed via app: glucometer, BP monitor, pulse oximeter, weight scale. IEEE 11073 coded.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Glucometer &gt;300 ALSO to safety-critical</w:t>
            </w:r>
          </w:p>
        </w:tc>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~1M events/day (1 device reading/patient/day average)</w:t>
            </w:r>
          </w:p>
        </w:tc>
        <w:tc>
          <w:tcPr>
            <w:tcW w:type="dxa" w:w="4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KB-20, KB-26</w:t>
            </w:r>
          </w:p>
        </w:tc>
      </w:tr>
      <w:tr>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ingestion.wearable-agg</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 + Flink CGM job</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Daily aggregated wearable data: steps, sleep duration/quality, resting HR, CGM TIR/TAR/TBR/CV/MAG/Mean. NOT raw 5-min readings.</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None (daily aggregates, never urgent)</w:t>
            </w:r>
          </w:p>
        </w:tc>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~1M events/day (1 daily aggregate per patient)</w:t>
            </w:r>
          </w:p>
        </w:tc>
        <w:tc>
          <w:tcPr>
            <w:tcW w:type="dxa" w:w="4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KB-26 (twin)</w:t>
            </w:r>
          </w:p>
        </w:tc>
      </w:tr>
      <w:tr>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ingestion.cgm-raw</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Raw 5-minute CGM glucose readings from Ultrahuman M1 and other CGM devices. 288 readings/day/patient.</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 days (short: aggregated by Flink, raw not needed long-term)</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None (aggregation input, not directly consumed by clinical engines)</w:t>
            </w:r>
          </w:p>
        </w:tc>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~2.88M events/day at 10K CGM users. Scales to 28.8M/day at 100K CGM users. This topic is the highest-volume topic by far.</w:t>
            </w:r>
          </w:p>
        </w:tc>
        <w:tc>
          <w:tcPr>
            <w:tcW w:type="dxa" w:w="4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CGM aggregation job ONLY. No KB service consumes raw CGM.</w:t>
            </w:r>
          </w:p>
        </w:tc>
      </w:tr>
      <w:tr>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ingestion.abdm-records</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FHIR Bundles from ABDM HIE: OPConsultRecords, DischargeSummaries, DiagnosticReports, Prescriptions from other providers.</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180 days (regulatory: ABDM consent audit)</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None</w:t>
            </w:r>
          </w:p>
        </w:tc>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~10K events/day (low volume, consent-gated pull)</w:t>
            </w:r>
          </w:p>
        </w:tc>
        <w:tc>
          <w:tcPr>
            <w:tcW w:type="dxa" w:w="4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(external history integration)</w:t>
            </w:r>
          </w:p>
        </w:tc>
      </w:tr>
      <w:tr>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ingestion.hpi</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 (from M0)</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Structured HPI data: symptom slots, medication history, dietary patterns, exercise capacity from intake conversations.</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90 days</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None</w:t>
            </w:r>
          </w:p>
        </w:tc>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~5K events/day (intake sessions)</w:t>
            </w:r>
          </w:p>
        </w:tc>
        <w:tc>
          <w:tcPr>
            <w:tcW w:type="dxa" w:w="4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KB-20, KB-23 (decision engine)</w:t>
            </w:r>
          </w:p>
        </w:tc>
      </w:tr>
      <w:tr>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ingestion.safety-critical</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 + Intake</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Critical values detected at source: eGFR&lt;30, FBG&gt;300, K+&gt;6.0, SBP&gt;180, HARD_STOP triggers. THIS IS THE RED PHONE.</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180 days (audit trail for every critical clinical event)</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ALL events are critical. Dedicated consumer group with max poll frequency (10ms). Consumer processes ONLY this topic — no mixing with routine data.</w:t>
            </w:r>
          </w:p>
        </w:tc>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~500–1,000 events/day (rare by design — critical values are the exception, not the norm)</w:t>
            </w:r>
          </w:p>
        </w:tc>
        <w:tc>
          <w:tcPr>
            <w:tcW w:type="dxa" w:w="4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KB-22 (immediate deterioration), KB-23 (urgent Decision Card), Notification Service (physician FCM+SMS)</w:t>
            </w:r>
          </w:p>
        </w:tc>
      </w:tr>
    </w:tbl>
    <w:p>
      <w:pPr>
        <w:spacing w:after="60"/>
      </w:pPr>
    </w:p>
    <w:p>
      <w:pPr>
        <w:pStyle w:val="Heading2"/>
        <w:spacing w:after="140" w:before="280"/>
      </w:pPr>
      <w:r>
        <w:rPr>
          <w:rFonts w:ascii="Arial" w:cs="Arial" w:eastAsia="Arial" w:hAnsi="Arial"/>
          <w:b/>
          <w:bCs/>
          <w:color w:val="2E75B6"/>
          <w:sz w:val="24"/>
          <w:szCs w:val="24"/>
        </w:rPr>
        <w:t xml:space="preserve">Layer 2: Intake Events (M0 Service → Kafka)</w:t>
      </w:r>
    </w:p>
    <w:p>
      <w:pPr>
        <w:spacing w:after="120"/>
      </w:pPr>
      <w:r>
        <w:rPr>
          <w:rFonts w:ascii="Arial" w:cs="Arial" w:eastAsia="Arial" w:hAnsi="Arial"/>
          <w:color w:val="546E7A"/>
          <w:sz w:val="20"/>
          <w:szCs w:val="20"/>
        </w:rPr>
        <w:t xml:space="preserve">Events published by the Intake &amp; Onboarding Service via transactional outbox. These track the patient enrollment lifecycle, clinical history collection, and safety screening.</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900"/>
        <w:gridCol w:w="800"/>
        <w:gridCol w:w="900"/>
        <w:gridCol w:w="528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Topic</w:t>
            </w:r>
          </w:p>
        </w:tc>
        <w:tc>
          <w:tcPr>
            <w:tcW w:type="dxa" w:w="3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Content</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 Key</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(10K)</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Retention</w:t>
            </w:r>
          </w:p>
        </w:tc>
        <w:tc>
          <w:tcPr>
            <w:tcW w:type="dxa" w:w="5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Consumers</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intake.slot-events</w:t>
            </w:r>
          </w:p>
        </w:tc>
        <w:tc>
          <w:tcPr>
            <w:tcW w:type="dxa" w:w="3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Individual slot fill events from intake and check-in sessions. Each event: patient_id, slot_name, value, confidence, extraction_mode, safety_result.</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90 days</w:t>
            </w:r>
          </w:p>
        </w:tc>
        <w:tc>
          <w:tcPr>
            <w:tcW w:type="dxa" w:w="5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(longitudinal state initialization)</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C62828"/>
                <w:sz w:val="15"/>
                <w:szCs w:val="15"/>
              </w:rPr>
              <w:t xml:space="preserve">intake.safety-alerts</w:t>
            </w:r>
          </w:p>
        </w:tc>
        <w:tc>
          <w:tcPr>
            <w:tcW w:type="dxa" w:w="3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HARD_STOP and SOFT_FLAG triggers from the intake safety engine. HARD_STOPs also published to ingestion.safety-critical.</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180 days (audit)</w:t>
            </w:r>
          </w:p>
        </w:tc>
        <w:tc>
          <w:tcPr>
            <w:tcW w:type="dxa" w:w="5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KB-23 (urgent Decision Card for physician), Notification Service, ingestion.safety-critical (cross-published for unified critical pipeline)</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intake.lifecycle</w:t>
            </w:r>
          </w:p>
        </w:tc>
        <w:tc>
          <w:tcPr>
            <w:tcW w:type="dxa" w:w="3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 lifecycle events: PATIENT_CREATED, INTAKE_COMPLETED, PATIENT_ENROLLED, SESSION_ABANDONED. Plus LAB_ORDER_PLACED.</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180 days</w:t>
            </w:r>
          </w:p>
        </w:tc>
        <w:tc>
          <w:tcPr>
            <w:tcW w:type="dxa" w:w="5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KB-21, KB-23, KB-26, BCE, App Service, Lab Integration Service</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intake.checkins</w:t>
            </w:r>
          </w:p>
        </w:tc>
        <w:tc>
          <w:tcPr>
            <w:tcW w:type="dxa" w:w="3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Biweekly check-in completions with trajectory signal (STABLE_IMPROVEMENT / FRAGILE_IMPROVEMENT / PROTOCOL_FAILURE / DISENGAGEMENT).</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90 days</w:t>
            </w:r>
          </w:p>
        </w:tc>
        <w:tc>
          <w:tcPr>
            <w:tcW w:type="dxa" w:w="5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M4 Correction Loop Orchestrator, KB-20, KB-21 (adherence update), Flink trajectory job</w:t>
            </w:r>
          </w:p>
        </w:tc>
      </w:tr>
    </w:tbl>
    <w:p>
      <w:pPr>
        <w:spacing w:after="60"/>
      </w:pPr>
    </w:p>
    <w:p>
      <w:pPr>
        <w:pStyle w:val="Heading2"/>
        <w:spacing w:after="140" w:before="280"/>
      </w:pPr>
      <w:r>
        <w:rPr>
          <w:rFonts w:ascii="Arial" w:cs="Arial" w:eastAsia="Arial" w:hAnsi="Arial"/>
          <w:b/>
          <w:bCs/>
          <w:color w:val="2E75B6"/>
          <w:sz w:val="24"/>
          <w:szCs w:val="24"/>
        </w:rPr>
        <w:t xml:space="preserve">Layer 3: Flink-Processed Events (Stream Processing → Kafka)</w:t>
      </w:r>
    </w:p>
    <w:p>
      <w:pPr>
        <w:spacing w:after="120"/>
      </w:pPr>
      <w:r>
        <w:rPr>
          <w:rFonts w:ascii="Arial" w:cs="Arial" w:eastAsia="Arial" w:hAnsi="Arial"/>
          <w:color w:val="546E7A"/>
          <w:sz w:val="20"/>
          <w:szCs w:val="20"/>
        </w:rPr>
        <w:t xml:space="preserve">Events published by Flink jobs after stateful stream processing. These are derived clinical signals — the intelligence layer between raw observations and clinical decision-making.</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400"/>
        <w:gridCol w:w="800"/>
        <w:gridCol w:w="800"/>
        <w:gridCol w:w="488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Topic</w:t>
            </w:r>
          </w:p>
        </w:tc>
        <w:tc>
          <w:tcPr>
            <w:tcW w:type="dxa" w:w="1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Flink Job Source</w:t>
            </w:r>
          </w:p>
        </w:tc>
        <w:tc>
          <w:tcPr>
            <w:tcW w:type="dxa" w:w="3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Content</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(10K)</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Retention</w:t>
            </w:r>
          </w:p>
        </w:tc>
        <w:tc>
          <w:tcPr>
            <w:tcW w:type="dxa" w:w="48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Consumers</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flink.trajectory-signals</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Trajectory Analysis Job</w:t>
            </w:r>
          </w:p>
        </w:tc>
        <w:tc>
          <w:tcPr>
            <w:tcW w:type="dxa" w:w="3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14-day trajectory classification per patient: trajectory type (4 categories), FBG slope, adherence rates, protocol compliance score. Emitted at check-in boundaries and on significant signal changes.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4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M4 Correction Loop Orchestrator (primary consumer). KB-23 (generates Decision Card if PROTOCOL_FAILURE detected). Population analytics (aggregated trajectory distributions).</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flink.mri-triggers</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MRI Recomputation Trigger Job</w:t>
            </w:r>
          </w:p>
        </w:tc>
        <w:tc>
          <w:tcPr>
            <w:tcW w:type="dxa" w:w="3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MRI_RECOMPUTE_REQUESTED event with latest signal values attached. Triggered by: new HbA1c, new eGFR, new waist measurement, or significant FBG trend change (&gt;15% 7-day rolling mean shift).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14 days</w:t>
            </w:r>
          </w:p>
        </w:tc>
        <w:tc>
          <w:tcPr>
            <w:tcW w:type="dxa" w:w="4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KB-26 MRI computation service (recomputes MRI score and domain decomposition). After MRI recompute, KB-26 publishes to flink.mri-updates.</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flink.deterioration-alerts</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Deterioration Detection Job</w:t>
            </w:r>
          </w:p>
        </w:tc>
        <w:tc>
          <w:tcPr>
            <w:tcW w:type="dxa" w:w="3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DETERIORATION_DETECTED events from Flink CEP pattern matching: eGFR decline &gt;3/yr, reverse dipper pattern, sustained glycemic variability &gt;36%, triple whammy newly detected. Multi-signal patterns that single-event detection cannot catch.</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90 days (clinical audit)</w:t>
            </w:r>
          </w:p>
        </w:tc>
        <w:tc>
          <w:tcPr>
            <w:tcW w:type="dxa" w:w="4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KB-22 (records deterioration state), KB-23 (generates Decision Card), Notification Service (physician alert). Note: these are PATTERN-BASED alerts discovered by Flink, distinct from ingestion.safety-critical which are SINGLE-EVENT threshold alerts.</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flink.mri-updates</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KB-26 (after Flink trigger)</w:t>
            </w:r>
          </w:p>
        </w:tc>
        <w:tc>
          <w:tcPr>
            <w:tcW w:type="dxa" w:w="3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Updated MRI scores: composite score, 4 domain scores, trend, driver identification, ASCVD 10-year risk. Published after each MRI recomputation.</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4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Doctor Dashboard (real-time score update), Patient App (health score refresh), Apollo cache invalidation, Population analytics.</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flink.cgm-aggregates</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CGM Aggregation Job</w:t>
            </w:r>
          </w:p>
        </w:tc>
        <w:tc>
          <w:tcPr>
            <w:tcW w:type="dxa" w:w="3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Daily CGM aggregates: TIR, TAR, TBR, CV, MAG, Mean Glucose. Published once per CGM patient per day. This is the output of the cgm-raw topic aggregation.</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30 days</w:t>
            </w:r>
          </w:p>
        </w:tc>
        <w:tc>
          <w:tcPr>
            <w:tcW w:type="dxa" w:w="4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Published TO ingestion.wearable-agg (merged with other wearable daily data). Also directly consumed by KB-26 for twin state update.</w:t>
            </w:r>
          </w:p>
        </w:tc>
      </w:tr>
    </w:tbl>
    <w:p>
      <w:pPr>
        <w:spacing w:after="60"/>
      </w:pPr>
    </w:p>
    <w:p>
      <w:pPr>
        <w:pStyle w:val="Heading2"/>
        <w:spacing w:after="140" w:before="280"/>
      </w:pPr>
      <w:r>
        <w:rPr>
          <w:rFonts w:ascii="Arial" w:cs="Arial" w:eastAsia="Arial" w:hAnsi="Arial"/>
          <w:b/>
          <w:bCs/>
          <w:color w:val="2E75B6"/>
          <w:sz w:val="24"/>
          <w:szCs w:val="24"/>
        </w:rPr>
        <w:t xml:space="preserve">Layer 4: Clinical Engine Events (KB Services → Kafka)</w:t>
      </w:r>
    </w:p>
    <w:p>
      <w:pPr>
        <w:spacing w:after="120"/>
      </w:pPr>
      <w:r>
        <w:rPr>
          <w:rFonts w:ascii="Arial" w:cs="Arial" w:eastAsia="Arial" w:hAnsi="Arial"/>
          <w:color w:val="546E7A"/>
          <w:sz w:val="20"/>
          <w:szCs w:val="20"/>
        </w:rPr>
        <w:t xml:space="preserve">Events published by KB services after clinical reasoning. Decision cards, coaching messages, medication recommendations.</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800"/>
        <w:gridCol w:w="800"/>
        <w:gridCol w:w="508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Topic</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KB Source</w:t>
            </w:r>
          </w:p>
        </w:tc>
        <w:tc>
          <w:tcPr>
            <w:tcW w:type="dxa" w:w="3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Content</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(10K)</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Retention</w:t>
            </w:r>
          </w:p>
        </w:tc>
        <w:tc>
          <w:tcPr>
            <w:tcW w:type="dxa" w:w="50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Consumers</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clinical.decision-cards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KB-23</w:t>
            </w:r>
          </w:p>
        </w:tc>
        <w:tc>
          <w:tcPr>
            <w:tcW w:type="dxa" w:w="3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Generated Decision Cards: MEDICATION_REVIEW, DE_ESCALATION, LIFESTYLE_INTENSIFICATION, SAFETY_ALERT, ROUTINE_REVIEW. Full card payload including recommendation, alternateRx, evidence, actions, safety flags.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90 days</w:t>
            </w:r>
          </w:p>
        </w:tc>
        <w:tc>
          <w:tcPr>
            <w:tcW w:type="dxa" w:w="50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Doctor Dashboard (queue update, card rendering), Pharmacist Review Queue, Audit Service.</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clinical.coaching-messages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KB-21 (BCE)</w:t>
            </w:r>
          </w:p>
        </w:tc>
        <w:tc>
          <w:tcPr>
            <w:tcW w:type="dxa" w:w="3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Coaching messages for patients: reinforcement, encouragement, problem-solving. Includes technique selection, message text in patient’s language, delivery channel preference.</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14 days</w:t>
            </w:r>
          </w:p>
        </w:tc>
        <w:tc>
          <w:tcPr>
            <w:tcW w:type="dxa" w:w="50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WhatsApp Tier-1 delivery, Patient App push notification, Co-enrollee (family view) simplified message.</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clinical.medication-events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KB-23 + Physician Action</w:t>
            </w:r>
          </w:p>
        </w:tc>
        <w:tc>
          <w:tcPr>
            <w:tcW w:type="dxa" w:w="3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Medication changes approved by physician: new prescription, dose change, de-escalation, stop. Includes physician ID, action timestamp, clinical rationale.</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180 days (regulatory)</w:t>
            </w:r>
          </w:p>
        </w:tc>
        <w:tc>
          <w:tcPr>
            <w:tcW w:type="dxa" w:w="50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(medication history update), Patient App (medication list refresh), Insurance claims pipeline, ABDM (publish as PrescriptionRecord).</w:t>
            </w:r>
          </w:p>
        </w:tc>
      </w:tr>
    </w:tbl>
    <w:p>
      <w:pPr>
        <w:spacing w:after="60"/>
      </w:pPr>
    </w:p>
    <w:p>
      <w:pPr>
        <w:pStyle w:val="Heading2"/>
        <w:spacing w:after="140" w:before="280"/>
      </w:pPr>
      <w:r>
        <w:rPr>
          <w:rFonts w:ascii="Arial" w:cs="Arial" w:eastAsia="Arial" w:hAnsi="Arial"/>
          <w:b/>
          <w:bCs/>
          <w:color w:val="2E75B6"/>
          <w:sz w:val="24"/>
          <w:szCs w:val="24"/>
        </w:rPr>
        <w:t xml:space="preserve">Layer 5: Operational &amp; Analytics Events</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700"/>
        <w:gridCol w:w="800"/>
        <w:gridCol w:w="3400"/>
        <w:gridCol w:w="258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Topic</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3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Content</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Retention</w:t>
            </w:r>
          </w:p>
        </w:tc>
        <w:tc>
          <w:tcPr>
            <w:tcW w:type="dxa" w:w="3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Consumers</w:t>
            </w:r>
          </w:p>
        </w:tc>
        <w:tc>
          <w:tcPr>
            <w:tcW w:type="dxa" w:w="25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Compaction</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E65100"/>
                <w:sz w:val="15"/>
                <w:szCs w:val="15"/>
              </w:rPr>
              <w:t xml:space="preserve">ops.dlq</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 + Intake</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Dead letter queue. Failed events from outbox relay, parse failures, validation rejects. Contains original payload + error context.</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365 days</w:t>
            </w:r>
          </w:p>
        </w:tc>
        <w:tc>
          <w:tcPr>
            <w:tcW w:type="dxa" w:w="3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DLQ Dashboard (admin tool). Pharmacist resolution queue (patient-not-found). Clinical informatics (unmapped codes).</w:t>
            </w:r>
          </w:p>
        </w:tc>
        <w:tc>
          <w:tcPr>
            <w:tcW w:type="dxa" w:w="25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Compact (keep latest per event_id)</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1B3A5C"/>
                <w:sz w:val="15"/>
                <w:szCs w:val="15"/>
              </w:rPr>
              <w:t xml:space="preserve">ops.audit-trail</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All services</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Immutable audit log: physician actions on Decision Cards, pharmacist reviews, consent grants/revocations, data access events, ABDM transactions.</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2555 days (7 years, Indian MCI guideline)</w:t>
            </w:r>
          </w:p>
        </w:tc>
        <w:tc>
          <w:tcPr>
            <w:tcW w:type="dxa" w:w="3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Audit Dashboard. Compliance reporting. Legal discovery. NEVER delete or compact this topic.</w:t>
            </w:r>
          </w:p>
        </w:tc>
        <w:tc>
          <w:tcPr>
            <w:tcW w:type="dxa" w:w="25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None (append-only, never compact)</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1B3A5C"/>
                <w:sz w:val="15"/>
                <w:szCs w:val="15"/>
              </w:rPr>
              <w:t xml:space="preserve">analytics.population</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 analytics job + KB services</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Aggregated, de-identified population metrics: cohort MRI distributions, intervention success rates, medication de-escalation rates, per-tenant engagement. NO individual patient data.</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365 days</w:t>
            </w:r>
          </w:p>
        </w:tc>
        <w:tc>
          <w:tcPr>
            <w:tcW w:type="dxa" w:w="3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Corporate wellness dashboard, Insurance cost containment reports, Government HMIS uploads, Research data pipeline.</w:t>
            </w:r>
          </w:p>
        </w:tc>
        <w:tc>
          <w:tcPr>
            <w:tcW w:type="dxa" w:w="25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None</w:t>
            </w:r>
          </w:p>
        </w:tc>
      </w:tr>
    </w:tbl>
    <w:p>
      <w:r>
        <w:br w:type="page"/>
      </w:r>
    </w:p>
    <w:p>
      <w:pPr>
        <w:pStyle w:val="Heading1"/>
        <w:spacing w:after="200" w:before="400"/>
      </w:pPr>
      <w:r>
        <w:rPr>
          <w:rFonts w:ascii="Arial" w:cs="Arial" w:eastAsia="Arial" w:hAnsi="Arial"/>
          <w:b/>
          <w:bCs/>
          <w:color w:val="1B3A5C"/>
          <w:sz w:val="30"/>
          <w:szCs w:val="30"/>
        </w:rPr>
        <w:t xml:space="preserve">4. Partition Sizing: Formula + Scaling Projections</w:t>
      </w:r>
    </w:p>
    <w:p>
      <w:pPr>
        <w:spacing w:after="60"/>
      </w:pPr>
    </w:p>
    <w:p>
      <w:pPr>
        <w:pStyle w:val="Heading2"/>
        <w:spacing w:after="140" w:before="280"/>
      </w:pPr>
      <w:r>
        <w:rPr>
          <w:rFonts w:ascii="Arial" w:cs="Arial" w:eastAsia="Arial" w:hAnsi="Arial"/>
          <w:b/>
          <w:bCs/>
          <w:color w:val="2E75B6"/>
          <w:sz w:val="24"/>
          <w:szCs w:val="24"/>
        </w:rPr>
        <w:t xml:space="preserve">4.1 Sizing Formula</w:t>
      </w:r>
    </w:p>
    <w:p>
      <w:pPr>
        <w:spacing w:after="120"/>
      </w:pPr>
      <w:r>
        <w:rPr>
          <w:rFonts w:ascii="Arial" w:cs="Arial" w:eastAsia="Arial" w:hAnsi="Arial"/>
          <w:color w:val="546E7A"/>
          <w:sz w:val="20"/>
          <w:szCs w:val="20"/>
        </w:rPr>
        <w:t xml:space="preserve">P = max(T_peak / T_partition, C_max, ceil(N_patients / N_per_partition))</w:t>
      </w:r>
    </w:p>
    <w:p>
      <w:pPr>
        <w:spacing w:after="80"/>
      </w:pPr>
      <w:r>
        <w:rPr>
          <w:rFonts w:ascii="Arial" w:cs="Arial" w:eastAsia="Arial" w:hAnsi="Arial"/>
          <w:b/>
          <w:bCs/>
          <w:color w:val="1B3A5C"/>
          <w:sz w:val="20"/>
          <w:szCs w:val="20"/>
        </w:rPr>
        <w:t xml:space="preserve">T_peak: </w:t>
      </w:r>
      <w:r>
        <w:rPr>
          <w:rFonts w:ascii="Arial" w:cs="Arial" w:eastAsia="Arial" w:hAnsi="Arial"/>
          <w:color w:val="546E7A"/>
          <w:sz w:val="20"/>
          <w:szCs w:val="20"/>
        </w:rPr>
        <w:t xml:space="preserve">Peak throughput in MB/s for the topic. Calculated from: (events/second at peak) × (average event size in KB) / 1024.</w:t>
      </w:r>
    </w:p>
    <w:p>
      <w:pPr>
        <w:spacing w:after="80"/>
      </w:pPr>
      <w:r>
        <w:rPr>
          <w:rFonts w:ascii="Arial" w:cs="Arial" w:eastAsia="Arial" w:hAnsi="Arial"/>
          <w:b/>
          <w:bCs/>
          <w:color w:val="1B3A5C"/>
          <w:sz w:val="20"/>
          <w:szCs w:val="20"/>
        </w:rPr>
        <w:t xml:space="preserve">T_partition: </w:t>
      </w:r>
      <w:r>
        <w:rPr>
          <w:rFonts w:ascii="Arial" w:cs="Arial" w:eastAsia="Arial" w:hAnsi="Arial"/>
          <w:color w:val="546E7A"/>
          <w:sz w:val="20"/>
          <w:szCs w:val="20"/>
        </w:rPr>
        <w:t xml:space="preserve">Sustainable throughput per partition. Conservative target: 1 MB/s write, 2 MB/s read. For Kafka on AWS MSK with m5.large brokers: achievable.</w:t>
      </w:r>
    </w:p>
    <w:p>
      <w:pPr>
        <w:spacing w:after="80"/>
      </w:pPr>
      <w:r>
        <w:rPr>
          <w:rFonts w:ascii="Arial" w:cs="Arial" w:eastAsia="Arial" w:hAnsi="Arial"/>
          <w:b/>
          <w:bCs/>
          <w:color w:val="1B3A5C"/>
          <w:sz w:val="20"/>
          <w:szCs w:val="20"/>
        </w:rPr>
        <w:t xml:space="preserve">C_max: </w:t>
      </w:r>
      <w:r>
        <w:rPr>
          <w:rFonts w:ascii="Arial" w:cs="Arial" w:eastAsia="Arial" w:hAnsi="Arial"/>
          <w:color w:val="546E7A"/>
          <w:sz w:val="20"/>
          <w:szCs w:val="20"/>
        </w:rPr>
        <w:t xml:space="preserve">Maximum consumer parallelism. Each partition can only be consumed by one consumer in a consumer group. If a Flink job needs 8 task slots processing this topic, you need ≥8 partitions.</w:t>
      </w:r>
    </w:p>
    <w:p>
      <w:pPr>
        <w:spacing w:after="80"/>
      </w:pPr>
      <w:r>
        <w:rPr>
          <w:rFonts w:ascii="Arial" w:cs="Arial" w:eastAsia="Arial" w:hAnsi="Arial"/>
          <w:b/>
          <w:bCs/>
          <w:color w:val="1B3A5C"/>
          <w:sz w:val="20"/>
          <w:szCs w:val="20"/>
        </w:rPr>
        <w:t xml:space="preserve">N_patients: </w:t>
      </w:r>
      <w:r>
        <w:rPr>
          <w:rFonts w:ascii="Arial" w:cs="Arial" w:eastAsia="Arial" w:hAnsi="Arial"/>
          <w:color w:val="546E7A"/>
          <w:sz w:val="20"/>
          <w:szCs w:val="20"/>
        </w:rPr>
        <w:t xml:space="preserve">Expected patient count at the scaling tier.</w:t>
      </w:r>
    </w:p>
    <w:p>
      <w:pPr>
        <w:spacing w:after="80"/>
      </w:pPr>
      <w:r>
        <w:rPr>
          <w:rFonts w:ascii="Arial" w:cs="Arial" w:eastAsia="Arial" w:hAnsi="Arial"/>
          <w:b/>
          <w:bCs/>
          <w:color w:val="1B3A5C"/>
          <w:sz w:val="20"/>
          <w:szCs w:val="20"/>
        </w:rPr>
        <w:t xml:space="preserve">N_per_partition: </w:t>
      </w:r>
      <w:r>
        <w:rPr>
          <w:rFonts w:ascii="Arial" w:cs="Arial" w:eastAsia="Arial" w:hAnsi="Arial"/>
          <w:color w:val="546E7A"/>
          <w:sz w:val="20"/>
          <w:szCs w:val="20"/>
        </w:rPr>
        <w:t xml:space="preserve">Target patients per partition for even distribution. Range: 1,000–10,000. Lower values = more even distribution but more partitions. At 5,000 patients/partition: 1M patients = 200 partitions.</w:t>
      </w:r>
    </w:p>
    <w:p>
      <w:pPr>
        <w:spacing w:after="60"/>
      </w:pPr>
    </w:p>
    <w:p>
      <w:pPr>
        <w:pStyle w:val="Heading2"/>
        <w:spacing w:after="140" w:before="280"/>
      </w:pPr>
      <w:r>
        <w:rPr>
          <w:rFonts w:ascii="Arial" w:cs="Arial" w:eastAsia="Arial" w:hAnsi="Arial"/>
          <w:b/>
          <w:bCs/>
          <w:color w:val="2E75B6"/>
          <w:sz w:val="24"/>
          <w:szCs w:val="24"/>
        </w:rPr>
        <w:t xml:space="preserve">4.2 Scaling Tiers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100"/>
        <w:gridCol w:w="1100"/>
        <w:gridCol w:w="1100"/>
        <w:gridCol w:w="900"/>
        <w:gridCol w:w="900"/>
        <w:gridCol w:w="900"/>
        <w:gridCol w:w="5180"/>
      </w:tblGrid>
      <w:tr>
        <w:tc>
          <w:tcPr>
            <w:tcW w:type="dxa" w:w="1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Topic</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Avg Event Size</w:t>
            </w:r>
          </w:p>
        </w:tc>
        <w:tc>
          <w:tcPr>
            <w:tcW w:type="dxa" w:w="11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Events/Day (10K pts)</w:t>
            </w:r>
          </w:p>
        </w:tc>
        <w:tc>
          <w:tcPr>
            <w:tcW w:type="dxa" w:w="11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Events/Day (100K pts)</w:t>
            </w:r>
          </w:p>
        </w:tc>
        <w:tc>
          <w:tcPr>
            <w:tcW w:type="dxa" w:w="11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Events/Day (1M pts)</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(10K)</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(100K)</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Partitions (1M)</w:t>
            </w:r>
          </w:p>
        </w:tc>
        <w:tc>
          <w:tcPr>
            <w:tcW w:type="dxa" w:w="51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Scaling Trigger</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ingestion.labs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200K</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Repartition at 50K patients or when consumer lag &gt;30s sustained</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ingestion.vitals</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200K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2M</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Same</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ingestion.patient-reported</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500K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5M</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32</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Highest volume non-CGM topic. Repartition at 30K patients.</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ingestion.device-data</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1.5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1M</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Repartition at 50K</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ingestion.wearable-agg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1M</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Moderate volume, larger events</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ingestion.cgm-raw</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0.5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100K (if 350 CGM users)</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1M (3.5K CGM)</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28.8M (100K CGM)</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THIS TOPIC DRIVES KAFKA CLUSTER SIZING. At 100K CGM users: 28.8M events/day = 333 events/sec = ~0.16 MB/s. Still manageable but high partition count needed for Flink parallelism.</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ingestion.safety-critical</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500</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5K</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Low volume. Never needs many partitions. Critical: consumer poll interval must be ≤10ms.</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intake.slot-events</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5K (enrollment spikes)</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500K</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Spiky: corporate batch enrollments cause bursts</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intake.checkins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700 (10K pts / 14 days)</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70K</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Steady cadence, predictable volume</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flink.trajectory-signals</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700</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70K</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Matches checkin cadence</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flink.mri-triggers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500</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50K</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Event-driven, spiky after lab batch arrivals</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flink.deterioration-alerts</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20</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200</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2K</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Very low volume (pattern-based, rare)</w:t>
            </w:r>
          </w:p>
        </w:tc>
      </w:tr>
      <w:tr>
        <w:tc>
          <w:tcPr>
            <w:tcW w:type="dxa" w:w="1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clinical.decision-cards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 KB</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1K</w:t>
            </w:r>
          </w:p>
        </w:tc>
        <w:tc>
          <w:tcPr>
            <w:tcW w:type="dxa" w:w="11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10K</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w:t>
            </w:r>
          </w:p>
        </w:tc>
        <w:tc>
          <w:tcPr>
            <w:tcW w:type="dxa" w:w="51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Low volume, large events</w:t>
            </w:r>
          </w:p>
        </w:tc>
      </w:tr>
      <w:tr>
        <w:tc>
          <w:tcPr>
            <w:tcW w:type="dxa" w:w="1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ops.audit-trail</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 KB</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100K</w:t>
            </w:r>
          </w:p>
        </w:tc>
        <w:tc>
          <w:tcPr>
            <w:tcW w:type="dxa" w:w="11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1M</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51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Grows with all platform activity</w:t>
            </w:r>
          </w:p>
        </w:tc>
      </w:tr>
    </w:tbl>
    <w:p>
      <w:pPr>
        <w:spacing w:after="60"/>
      </w:pPr>
    </w:p>
    <w:p>
      <w:pPr>
        <w:pBdr>
          <w:left w:val="single" w:color="2E75B6" w:sz="12" w:space="8"/>
        </w:pBdr>
        <w:shd w:fill="E3F2FD" w:val="clear"/>
        <w:spacing w:after="100" w:before="100"/>
      </w:pPr>
      <w:r>
        <w:rPr>
          <w:rFonts w:ascii="Arial" w:cs="Arial" w:eastAsia="Arial" w:hAnsi="Arial"/>
          <w:color w:val="37474F"/>
          <w:sz w:val="19"/>
          <w:szCs w:val="19"/>
        </w:rPr>
        <w:t xml:space="preserve">SCALING RULE: Monitor consumer lag per topic (Kafka consumer group lag metric). When any consumer group shows sustained lag &gt; 30 seconds on a topic, it’s time to repartition. Repartition procedure: create new topic with higher partition count, migrate producers (update outbox kafka_topic config), migrate consumers, drain old topic, delete old topic. With Kafka KRaft mode (Kafka 4.0+, no ZooKeeper): cluster supports 200K+ partitions, so aggressive partitioning is safe.</w:t>
      </w:r>
    </w:p>
    <w:p>
      <w:r>
        <w:br w:type="page"/>
      </w:r>
    </w:p>
    <w:p>
      <w:pPr>
        <w:pStyle w:val="Heading1"/>
        <w:spacing w:after="200" w:before="400"/>
      </w:pPr>
      <w:r>
        <w:rPr>
          <w:rFonts w:ascii="Arial" w:cs="Arial" w:eastAsia="Arial" w:hAnsi="Arial"/>
          <w:b/>
          <w:bCs/>
          <w:color w:val="1B3A5C"/>
          <w:sz w:val="30"/>
          <w:szCs w:val="30"/>
        </w:rPr>
        <w:t xml:space="preserve">5. Consumer Group Architecture</w:t>
      </w:r>
    </w:p>
    <w:p>
      <w:pPr>
        <w:spacing w:after="120"/>
      </w:pPr>
      <w:r>
        <w:rPr>
          <w:rFonts w:ascii="Arial" w:cs="Arial" w:eastAsia="Arial" w:hAnsi="Arial"/>
          <w:color w:val="546E7A"/>
          <w:sz w:val="20"/>
          <w:szCs w:val="20"/>
        </w:rPr>
        <w:t xml:space="preserve">Each downstream service or Flink job has its own consumer group. This means every service independently consumes every relevant event. No coordination between consumer groups. This is the standard Kafka fan-out pattern.</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000"/>
        <w:gridCol w:w="700"/>
        <w:gridCol w:w="1000"/>
        <w:gridCol w:w="4980"/>
      </w:tblGrid>
      <w:tr>
        <w:tc>
          <w:tcPr>
            <w:tcW w:type="dxa" w:w="2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 Group</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Subscribed Topics</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Isolation Level</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Poll Interval</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Processing Guarantee</w:t>
            </w:r>
          </w:p>
        </w:tc>
        <w:tc>
          <w:tcPr>
            <w:tcW w:type="dxa" w:w="49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Notes</w:t>
            </w:r>
          </w:p>
        </w:tc>
      </w:tr>
      <w:tr>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cg-kb20-state</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Longitudinal State</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ingestion.labs, ingestion.vitals, ingestion.patient-reported, ingestion.device-data, ingestion.wearable-agg, ingestion.abdm-records, ingestion.hpi, intake.slot-events, intake.lifecycle</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100ms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Idempotent upsert (source_event_id UNIQUE constraint)</w:t>
            </w:r>
          </w:p>
        </w:tc>
        <w:tc>
          <w:tcPr>
            <w:tcW w:type="dxa" w:w="49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Widest subscription. KB-20 stores everything. Upsert pattern for deduplication.</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cg-kb22-monitor</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KB-22 Monitoring</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ingestion.labs, ingestion.vitals, ingestion.safety-critical, flink.deterioration-alerts, intake.safety-alerts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50ms (fast for safety topics)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Idempotent upsert</w:t>
            </w:r>
          </w:p>
        </w:tc>
        <w:tc>
          <w:tcPr>
            <w:tcW w:type="dxa" w:w="49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Monitors for threshold breaches and pattern-based deterioration. Safety-critical topic has dedicated consumer thread with 10ms poll.</w:t>
            </w:r>
          </w:p>
        </w:tc>
      </w:tr>
      <w:tr>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cg-kb26-twin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KB-26 Digital Twin</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ingestion.labs, ingestion.vitals, ingestion.wearable-agg, ingestion.device-data, flink.mri-triggers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100ms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Idempotent upsert</w:t>
            </w:r>
          </w:p>
        </w:tc>
        <w:tc>
          <w:tcPr>
            <w:tcW w:type="dxa" w:w="49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Twin state updates on new observations. MRI recomputation triggered by flink.mri-triggers.</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cg-kb23-decision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KB-23 Decision Engine</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flink.deterioration-alerts, flink.trajectory-signals, intake.lifecycle, clinical.medication-events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100ms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Idempotent (card_id dedup)</w:t>
            </w:r>
          </w:p>
        </w:tc>
        <w:tc>
          <w:tcPr>
            <w:tcW w:type="dxa" w:w="49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Generates Decision Cards. Triggered by deterioration patterns, trajectory failures, and enrollment completions.</w:t>
            </w:r>
          </w:p>
        </w:tc>
      </w:tr>
      <w:tr>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cg-kb21-behavioral</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KB-21 Behavioral Engine</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ingestion.patient-reported, intake.checkins, intake.lifecycle</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200ms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Idempotent</w:t>
            </w:r>
          </w:p>
        </w:tc>
        <w:tc>
          <w:tcPr>
            <w:tcW w:type="dxa" w:w="49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Updates behavioral profiles, adherence scores, technique effectiveness.</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D32"/>
                <w:sz w:val="15"/>
                <w:szCs w:val="15"/>
              </w:rPr>
              <w:t xml:space="preserve">cg-flink-trajectory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Trajectory Job</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ingestion.labs, ingestion.patient-reported, intake.checkins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N/A (Flink internal)</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Exactly-once (Flink checkpointing)</w:t>
            </w:r>
          </w:p>
        </w:tc>
        <w:tc>
          <w:tcPr>
            <w:tcW w:type="dxa" w:w="49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manages its own offsets via checkpoints, not Kafka __consumer_offsets. Checkpoint interval: 30s.</w:t>
            </w:r>
          </w:p>
        </w:tc>
      </w:tr>
      <w:tr>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D32"/>
                <w:sz w:val="15"/>
                <w:szCs w:val="15"/>
              </w:rPr>
              <w:t xml:space="preserve">cg-flink-mri</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 MRI Trigger Job</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ingestion.labs, ingestion.vitals, ingestion.wearable-agg</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N/A</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Exactly-once</w:t>
            </w:r>
          </w:p>
        </w:tc>
        <w:tc>
          <w:tcPr>
            <w:tcW w:type="dxa" w:w="49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Detects significant signal changes that warrant MRI recomputation. Checkpoint: 15s.</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D32"/>
                <w:sz w:val="15"/>
                <w:szCs w:val="15"/>
              </w:rPr>
              <w:t xml:space="preserve">cg-flink-deterioration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Deterioration Job</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ingestion.labs, ingestion.vitals, ingestion.safety-critical, intake.safety-alerts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N/A</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Exactly-once</w:t>
            </w:r>
          </w:p>
        </w:tc>
        <w:tc>
          <w:tcPr>
            <w:tcW w:type="dxa" w:w="49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CEP for multi-signal pattern detection. Checkpoint: 10s (fast for safety).</w:t>
            </w:r>
          </w:p>
        </w:tc>
      </w:tr>
      <w:tr>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D32"/>
                <w:sz w:val="15"/>
                <w:szCs w:val="15"/>
              </w:rPr>
              <w:t xml:space="preserve">cg-flink-cgm</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 CGM Aggregation Job</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ingestion.cgm-raw</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N/A</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Exactly-once</w:t>
            </w:r>
          </w:p>
        </w:tc>
        <w:tc>
          <w:tcPr>
            <w:tcW w:type="dxa" w:w="49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24-hour tumbling windows. 288 readings → 6 daily metrics. Checkpoint: 60s (large state).</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cg-notification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Notification Service</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ingestion.safety-critical, intake.safety-alerts, flink.deterioration-alerts, clinical.coaching-messages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10ms (safety topics)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At-least-once (notifications are idempotent — receiving the same alert twice is acceptable)</w:t>
            </w:r>
          </w:p>
        </w:tc>
        <w:tc>
          <w:tcPr>
            <w:tcW w:type="dxa" w:w="49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Routes to FCM push, SMS, WhatsApp. Safety topics consumed with highest priority.</w:t>
            </w:r>
          </w:p>
        </w:tc>
      </w:tr>
      <w:tr>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E65100"/>
                <w:sz w:val="15"/>
                <w:szCs w:val="15"/>
              </w:rPr>
              <w:t xml:space="preserve">cg-dashboard</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Doctor Dashboard (via Apollo)</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flink.mri-updates, clinical.decision-cards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500ms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At-least-once</w:t>
            </w:r>
          </w:p>
        </w:tc>
        <w:tc>
          <w:tcPr>
            <w:tcW w:type="dxa" w:w="49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Feeds Apollo cache invalidation for real-time dashboard updates. Lower priority — dashboard auto-refreshes every 60s anyway.</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cg-datalake</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Iceberg Sink Job</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ALL ingestion.* topics, ALL flink.* topics, ops.audit-trail</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read_committed</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N/A</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Exactly-once (Flink Iceberg sink with ACID writes)</w:t>
            </w:r>
          </w:p>
        </w:tc>
        <w:tc>
          <w:tcPr>
            <w:tcW w:type="dxa" w:w="49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Offloads ALL events to Apache Iceberg tables on S3 for long-term analytics. This is the cold storage tier. Population health queries run against Iceberg, not Kafka.</w:t>
            </w:r>
          </w:p>
        </w:tc>
      </w:tr>
    </w:tbl>
    <w:p>
      <w:pPr>
        <w:spacing w:after="60"/>
      </w:pPr>
    </w:p>
    <w:p>
      <w:pPr>
        <w:pBdr>
          <w:left w:val="single" w:color="C62828" w:sz="12" w:space="8"/>
        </w:pBdr>
        <w:shd w:fill="FFEBEE" w:val="clear"/>
        <w:spacing w:after="100" w:before="100"/>
      </w:pPr>
      <w:r>
        <w:rPr>
          <w:rFonts w:ascii="Arial" w:cs="Arial" w:eastAsia="Arial" w:hAnsi="Arial"/>
          <w:color w:val="37474F"/>
          <w:sz w:val="19"/>
          <w:szCs w:val="19"/>
        </w:rPr>
        <w:t xml:space="preserve">CRITICAL RULE: No consumer group subscribes to topics from different urgency tiers in the same processing thread. KB-22’s consumer group subscribes to both ingestion.safety-critical and ingestion.labs, but it uses a SEPARATE consumer thread for safety-critical with a 10ms poll interval, distinct from the 50ms poll for routine lab data. This ensures a critical eGFR reading is never blocked behind routine FBG processing in the same consumer.</w:t>
      </w:r>
    </w:p>
    <w:p>
      <w:r>
        <w:br w:type="page"/>
      </w:r>
    </w:p>
    <w:p>
      <w:pPr>
        <w:pStyle w:val="Heading1"/>
        <w:spacing w:after="200" w:before="400"/>
      </w:pPr>
      <w:r>
        <w:rPr>
          <w:rFonts w:ascii="Arial" w:cs="Arial" w:eastAsia="Arial" w:hAnsi="Arial"/>
          <w:b/>
          <w:bCs/>
          <w:color w:val="1B3A5C"/>
          <w:sz w:val="30"/>
          <w:szCs w:val="30"/>
        </w:rPr>
        <w:t xml:space="preserve">6. Canonical Message Envelope (All Topics)</w:t>
      </w:r>
    </w:p>
    <w:p>
      <w:pPr>
        <w:spacing w:after="120"/>
      </w:pPr>
      <w:r>
        <w:rPr>
          <w:rFonts w:ascii="Arial" w:cs="Arial" w:eastAsia="Arial" w:hAnsi="Arial"/>
          <w:color w:val="546E7A"/>
          <w:sz w:val="20"/>
          <w:szCs w:val="20"/>
        </w:rPr>
        <w:t xml:space="preserve">Every Kafka message, regardless of topic, uses a standardized envelope format. This enables uniform deserialization, deduplication, tracing, and schema evolution across all consumers.</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8880"/>
      </w:tblGrid>
      <w:tr>
        <w:tc>
          <w:tcPr>
            <w:tcW w:type="dxa" w:w="2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Required</w:t>
            </w:r>
          </w:p>
        </w:tc>
        <w:tc>
          <w:tcPr>
            <w:tcW w:type="dxa" w:w="88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Purpose</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event_id</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UUID</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Globally unique. Generated at outbox INSERT time. This is THE idempotency key. Every consumer deduplicates on this field. Format: UUIDv7 (time-ordered for efficient indexing in downstream databases).</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event_type</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Machine-readable event type: LAB_RESULT_NORMALIZED, VITAL_RECEIVED, SLOT_FILLED, HARD_STOP_TRIGGERED, MRI_RECOMPUTE_REQUESTED, DECISION_CARD_GENERATED, DETERIORATION_DETECTED, etc. Used by consumers for routing and deserialization.</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patient_id</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UUID</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Internal Vaidshala patient ID. Also used as Kafka message key (partition key). All events for one patient land in the same partition.</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tenant_id</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UUID</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Multi-tenancy isolation. Consumers can filter by tenant if needed (though partition assignment already handles this implicitly if patients are tenant-scoped).</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source_service</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Which service produced this event: ingestion-service, intake-service, flink-trajectory, flink-mri, kb-23, etc. For tracing and debugging.</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source_type</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Conditional</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For ingestion events: EHR, ABDM, LAB, PATIENT_REPORTED, HPI, DEVICE, WEARABLE. Not applicable for Flink or KB-produced events.</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priority</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critical / urgent / routine / background. Consumers use this to prioritize processing order within a partition.</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timestamp</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ISO 8601 UTC</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When the event was created (outbox INSERT time). For ordering and windowing.</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effective_at</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ISO 8601 UTC</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Conditional</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When the clinical observation was clinically effective (measurement time, not processing time). For ingestion events only. May differ from timestamp by minutes to hours.</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trace_id</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OpenTelemetry trace ID. Propagated from source through outbox, Kafka headers, Flink, and into KB consumers. Enables end-to-end distributed tracing from device reading to Decision Card.</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schema_version</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Semantic version of the payload schema (e.g., ‘1.0.0’, ‘1.1.0’). Used by consumers for schema evolution handling (see Section 8).</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payload</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JSON object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Yes</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The actual event data. Schema varies by event_type. For ingestion events: the CanonicalObservation (from ingestion service guide Section 4). For Flink events: derived signal structures. For clinical events: decision card, coaching message, etc.</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fhir_bundle</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JSON object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Conditional</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FHIR R4 Bundle for the observation(s) in this event. Present for ingestion events and clinical events that have ABDM-compliant FHIR representations. May be null for internal-only events.</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quality_score</w:t>
            </w:r>
          </w:p>
        </w:tc>
        <w:tc>
          <w:tcPr>
            <w:tcW w:type="dxa" w:w="1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Float 0.0–1.0</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Conditional</w:t>
            </w:r>
          </w:p>
        </w:tc>
        <w:tc>
          <w:tcPr>
            <w:tcW w:type="dxa" w:w="8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Data quality assessment for ingestion events. From the ingestion service validator stage. Not applicable for Flink or KB events.</w:t>
            </w:r>
          </w:p>
        </w:tc>
      </w:tr>
      <w:tr>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flags</w:t>
            </w:r>
          </w:p>
        </w:tc>
        <w:tc>
          <w:tcPr>
            <w:tcW w:type="dxa" w:w="1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String[]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No</w:t>
            </w:r>
          </w:p>
        </w:tc>
        <w:tc>
          <w:tcPr>
            <w:tcW w:type="dxa" w:w="8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Quality and clinical flags: CRITICAL_VALUE, IMPLAUSIBLE, LOW_QUALITY, ESTIMATED_TIME, UNMAPPED_CODE, etc.</w:t>
            </w:r>
          </w:p>
        </w:tc>
      </w:tr>
    </w:tbl>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Kafka message key = patient_id (determines partition assignment). Kafka message value = JSON-serialized envelope. Kafka message headers = { trace_id, event_type, schema_version, priority }. Headers are used for consumer routing without deserializing the full message body (faster filtering).</w:t>
      </w:r>
    </w:p>
    <w:p>
      <w:r>
        <w:br w:type="page"/>
      </w:r>
    </w:p>
    <w:p>
      <w:pPr>
        <w:pStyle w:val="Heading1"/>
        <w:spacing w:after="200" w:before="400"/>
      </w:pPr>
      <w:r>
        <w:rPr>
          <w:rFonts w:ascii="Arial" w:cs="Arial" w:eastAsia="Arial" w:hAnsi="Arial"/>
          <w:b/>
          <w:bCs/>
          <w:color w:val="1B3A5C"/>
          <w:sz w:val="30"/>
          <w:szCs w:val="30"/>
        </w:rPr>
        <w:t xml:space="preserve">7. Priority Routing: How Critical Values Take the Fast Lane</w:t>
      </w:r>
    </w:p>
    <w:p>
      <w:pPr>
        <w:spacing w:after="120"/>
      </w:pPr>
      <w:r>
        <w:rPr>
          <w:rFonts w:ascii="Arial" w:cs="Arial" w:eastAsia="Arial" w:hAnsi="Arial"/>
          <w:color w:val="546E7A"/>
          <w:sz w:val="20"/>
          <w:szCs w:val="20"/>
        </w:rPr>
        <w:t xml:space="preserve">The architect’s proposal treats priority as a post-processing concern (alert topic after detection). In our architecture, priority routing happens at TWO levels:</w:t>
      </w:r>
    </w:p>
    <w:p>
      <w:pPr>
        <w:spacing w:after="60"/>
      </w:pPr>
    </w:p>
    <w:p>
      <w:pPr>
        <w:pStyle w:val="Heading2"/>
        <w:spacing w:after="140" w:before="280"/>
      </w:pPr>
      <w:r>
        <w:rPr>
          <w:rFonts w:ascii="Arial" w:cs="Arial" w:eastAsia="Arial" w:hAnsi="Arial"/>
          <w:b/>
          <w:bCs/>
          <w:color w:val="2E75B6"/>
          <w:sz w:val="24"/>
          <w:szCs w:val="24"/>
        </w:rPr>
        <w:t xml:space="preserve">7.1 Level 1: Source-Side Priority Routing (Ingestion/Intake Outbox)</w:t>
      </w:r>
    </w:p>
    <w:p>
      <w:pPr>
        <w:spacing w:after="120"/>
      </w:pPr>
      <w:r>
        <w:rPr>
          <w:rFonts w:ascii="Arial" w:cs="Arial" w:eastAsia="Arial" w:hAnsi="Arial"/>
          <w:color w:val="546E7A"/>
          <w:sz w:val="20"/>
          <w:szCs w:val="20"/>
        </w:rPr>
        <w:t xml:space="preserve">The ingestion service’s validator stage checks clinical thresholds on every observation. When a critical threshold is breached:</w:t>
      </w:r>
    </w:p>
    <w:p>
      <w:pPr>
        <w:spacing w:after="80"/>
      </w:pPr>
      <w:r>
        <w:rPr>
          <w:rFonts w:ascii="Arial" w:cs="Arial" w:eastAsia="Arial" w:hAnsi="Arial"/>
          <w:b/>
          <w:bCs/>
          <w:color w:val="1B3A5C"/>
          <w:sz w:val="20"/>
          <w:szCs w:val="20"/>
        </w:rPr>
        <w:t xml:space="preserve">1. </w:t>
      </w:r>
      <w:r>
        <w:rPr>
          <w:rFonts w:ascii="Arial" w:cs="Arial" w:eastAsia="Arial" w:hAnsi="Arial"/>
          <w:color w:val="546E7A"/>
          <w:sz w:val="20"/>
          <w:szCs w:val="20"/>
        </w:rPr>
        <w:t xml:space="preserve">The observation is written to BOTH its normal topic (e.g., ingestion.labs) AND to ingestion.safety-critical as a separate outbox event in the SAME PostgreSQL transaction. Two outbox rows, one transaction.</w:t>
      </w:r>
    </w:p>
    <w:p>
      <w:pPr>
        <w:spacing w:after="80"/>
      </w:pPr>
      <w:r>
        <w:rPr>
          <w:rFonts w:ascii="Arial" w:cs="Arial" w:eastAsia="Arial" w:hAnsi="Arial"/>
          <w:b/>
          <w:bCs/>
          <w:color w:val="1B3A5C"/>
          <w:sz w:val="20"/>
          <w:szCs w:val="20"/>
        </w:rPr>
        <w:t xml:space="preserve">2. </w:t>
      </w:r>
      <w:r>
        <w:rPr>
          <w:rFonts w:ascii="Arial" w:cs="Arial" w:eastAsia="Arial" w:hAnsi="Arial"/>
          <w:color w:val="546E7A"/>
          <w:sz w:val="20"/>
          <w:szCs w:val="20"/>
        </w:rPr>
        <w:t xml:space="preserve">The outbox relay processes critical-priority events first (the poll query orders by priority). The safety-critical event reaches Kafka before the routine copy of the same lab result.</w:t>
      </w:r>
    </w:p>
    <w:p>
      <w:pPr>
        <w:spacing w:after="80"/>
      </w:pPr>
      <w:r>
        <w:rPr>
          <w:rFonts w:ascii="Arial" w:cs="Arial" w:eastAsia="Arial" w:hAnsi="Arial"/>
          <w:b/>
          <w:bCs/>
          <w:color w:val="1B3A5C"/>
          <w:sz w:val="20"/>
          <w:szCs w:val="20"/>
        </w:rPr>
        <w:t xml:space="preserve">3. </w:t>
      </w:r>
      <w:r>
        <w:rPr>
          <w:rFonts w:ascii="Arial" w:cs="Arial" w:eastAsia="Arial" w:hAnsi="Arial"/>
          <w:color w:val="546E7A"/>
          <w:sz w:val="20"/>
          <w:szCs w:val="20"/>
        </w:rPr>
        <w:t xml:space="preserve">KB-22 has a dedicated consumer thread for ingestion.safety-critical with a 10ms poll interval. It processes the critical value and fires the deterioration alert within seconds of the observation arriving at the ingestion service.</w:t>
      </w:r>
    </w:p>
    <w:p>
      <w:pPr>
        <w:spacing w:after="80"/>
      </w:pPr>
      <w:r>
        <w:rPr>
          <w:rFonts w:ascii="Arial" w:cs="Arial" w:eastAsia="Arial" w:hAnsi="Arial"/>
          <w:b/>
          <w:bCs/>
          <w:color w:val="1B3A5C"/>
          <w:sz w:val="20"/>
          <w:szCs w:val="20"/>
        </w:rPr>
        <w:t xml:space="preserve">Result: </w:t>
      </w:r>
      <w:r>
        <w:rPr>
          <w:rFonts w:ascii="Arial" w:cs="Arial" w:eastAsia="Arial" w:hAnsi="Arial"/>
          <w:color w:val="546E7A"/>
          <w:sz w:val="20"/>
          <w:szCs w:val="20"/>
        </w:rPr>
        <w:t xml:space="preserve">A glucose reading of 380 mg/dL triggers a physician notification within 5–15 seconds of the ingestion service receiving the lab result. Without priority routing, this same reading would wait behind routine events in the normal pipeline, potentially adding minutes of latency.</w:t>
      </w:r>
    </w:p>
    <w:p>
      <w:pPr>
        <w:spacing w:after="60"/>
      </w:pPr>
    </w:p>
    <w:p>
      <w:pPr>
        <w:pStyle w:val="Heading2"/>
        <w:spacing w:after="140" w:before="280"/>
      </w:pPr>
      <w:r>
        <w:rPr>
          <w:rFonts w:ascii="Arial" w:cs="Arial" w:eastAsia="Arial" w:hAnsi="Arial"/>
          <w:b/>
          <w:bCs/>
          <w:color w:val="2E75B6"/>
          <w:sz w:val="24"/>
          <w:szCs w:val="24"/>
        </w:rPr>
        <w:t xml:space="preserve">7.2 Level 2: Pattern-Based Priority Routing (Flink Deterioration Job)</w:t>
      </w:r>
    </w:p>
    <w:p>
      <w:pPr>
        <w:spacing w:after="120"/>
      </w:pPr>
      <w:r>
        <w:rPr>
          <w:rFonts w:ascii="Arial" w:cs="Arial" w:eastAsia="Arial" w:hAnsi="Arial"/>
          <w:color w:val="546E7A"/>
          <w:sz w:val="20"/>
          <w:szCs w:val="20"/>
        </w:rPr>
        <w:t xml:space="preserve">Some critical conditions can only be detected by multi-event pattern analysis (not single-event thresholds). Examples: eGFR declining &gt;3 mL/min/year (requires 2+ readings over months), reverse dipper BP pattern (requires 3+ consecutive days of evening &gt; morning BP), sustained glycemic variability &gt;36% (requires 7+ days of glucose readings). Flink’s CEP (Complex Event Processing) engine detects these patterns and publishes to flink.deterioration-alerts, which KB-22 and the Notification Service consume with high priority.</w:t>
      </w:r>
    </w:p>
    <w:p>
      <w:pPr>
        <w:spacing w:after="80"/>
      </w:pPr>
      <w:r>
        <w:rPr>
          <w:rFonts w:ascii="Arial" w:cs="Arial" w:eastAsia="Arial" w:hAnsi="Arial"/>
          <w:b/>
          <w:bCs/>
          <w:color w:val="1B3A5C"/>
          <w:sz w:val="20"/>
          <w:szCs w:val="20"/>
        </w:rPr>
        <w:t xml:space="preserve">Distinction: </w:t>
      </w:r>
      <w:r>
        <w:rPr>
          <w:rFonts w:ascii="Arial" w:cs="Arial" w:eastAsia="Arial" w:hAnsi="Arial"/>
          <w:color w:val="546E7A"/>
          <w:sz w:val="20"/>
          <w:szCs w:val="20"/>
        </w:rPr>
        <w:t xml:space="preserve">ingestion.safety-critical = single-event threshold breach (immediate, source-detected). flink.deterioration-alerts = multi-event pattern (analytical, Flink-detected). Both are clinically critical but through different detection mechanisms. Both feed into KB-23 Decision Card generation and physician notification.</w:t>
      </w:r>
    </w:p>
    <w:p>
      <w:r>
        <w:br w:type="page"/>
      </w:r>
    </w:p>
    <w:p>
      <w:pPr>
        <w:pStyle w:val="Heading1"/>
        <w:spacing w:after="200" w:before="400"/>
      </w:pPr>
      <w:r>
        <w:rPr>
          <w:rFonts w:ascii="Arial" w:cs="Arial" w:eastAsia="Arial" w:hAnsi="Arial"/>
          <w:b/>
          <w:bCs/>
          <w:color w:val="1B3A5C"/>
          <w:sz w:val="30"/>
          <w:szCs w:val="30"/>
        </w:rPr>
        <w:t xml:space="preserve">8. Schema Evolution Strategy</w:t>
      </w:r>
    </w:p>
    <w:p>
      <w:pPr>
        <w:spacing w:after="120"/>
      </w:pPr>
      <w:r>
        <w:rPr>
          <w:rFonts w:ascii="Arial" w:cs="Arial" w:eastAsia="Arial" w:hAnsi="Arial"/>
          <w:color w:val="546E7A"/>
          <w:sz w:val="20"/>
          <w:szCs w:val="20"/>
        </w:rPr>
        <w:t xml:space="preserve">Clinical data schemas WILL evolve. New observation types (e.g., adding uric acid monitoring), new LOINC codes, new FHIR profiles (ABDM IG v8.0), new fields on existing events (e.g., adding device calibration date to observation). The Kafka topic architecture must handle this without breaking existing consumers.</w:t>
      </w:r>
    </w:p>
    <w:p>
      <w:pPr>
        <w:spacing w:after="60"/>
      </w:pPr>
    </w:p>
    <w:p>
      <w:pPr>
        <w:pStyle w:val="Heading2"/>
        <w:spacing w:after="140" w:before="280"/>
      </w:pPr>
      <w:r>
        <w:rPr>
          <w:rFonts w:ascii="Arial" w:cs="Arial" w:eastAsia="Arial" w:hAnsi="Arial"/>
          <w:b/>
          <w:bCs/>
          <w:color w:val="2E75B6"/>
          <w:sz w:val="24"/>
          <w:szCs w:val="24"/>
        </w:rPr>
        <w:t xml:space="preserve">8.1 Rules</w:t>
      </w:r>
    </w:p>
    <w:p>
      <w:pPr>
        <w:spacing w:after="80"/>
      </w:pPr>
      <w:r>
        <w:rPr>
          <w:rFonts w:ascii="Arial" w:cs="Arial" w:eastAsia="Arial" w:hAnsi="Arial"/>
          <w:b/>
          <w:bCs/>
          <w:color w:val="1B3A5C"/>
          <w:sz w:val="20"/>
          <w:szCs w:val="20"/>
        </w:rPr>
        <w:t xml:space="preserve">Rule 1 — Additive-Only Changes: </w:t>
      </w:r>
      <w:r>
        <w:rPr>
          <w:rFonts w:ascii="Arial" w:cs="Arial" w:eastAsia="Arial" w:hAnsi="Arial"/>
          <w:color w:val="546E7A"/>
          <w:sz w:val="20"/>
          <w:szCs w:val="20"/>
        </w:rPr>
        <w:t xml:space="preserve">New fields can be added to the payload at any time. Consumers MUST ignore unknown fields (standard JSON deserialization behavior in Go and Java). This is a backward-compatible change. No consumer code change needed.</w:t>
      </w:r>
    </w:p>
    <w:p>
      <w:pPr>
        <w:spacing w:after="80"/>
      </w:pPr>
      <w:r>
        <w:rPr>
          <w:rFonts w:ascii="Arial" w:cs="Arial" w:eastAsia="Arial" w:hAnsi="Arial"/>
          <w:b/>
          <w:bCs/>
          <w:color w:val="1B3A5C"/>
          <w:sz w:val="20"/>
          <w:szCs w:val="20"/>
        </w:rPr>
        <w:t xml:space="preserve">Rule 2 — Never Remove or Rename Fields: </w:t>
      </w:r>
      <w:r>
        <w:rPr>
          <w:rFonts w:ascii="Arial" w:cs="Arial" w:eastAsia="Arial" w:hAnsi="Arial"/>
          <w:color w:val="546E7A"/>
          <w:sz w:val="20"/>
          <w:szCs w:val="20"/>
        </w:rPr>
        <w:t xml:space="preserve">Existing fields in the payload are never removed or renamed. If a field becomes obsolete, it is deprecated (set to null or a sentinel value) but the field remains in the schema. This ensures old consumers continue to work.</w:t>
      </w:r>
    </w:p>
    <w:p>
      <w:pPr>
        <w:spacing w:after="80"/>
      </w:pPr>
      <w:r>
        <w:rPr>
          <w:rFonts w:ascii="Arial" w:cs="Arial" w:eastAsia="Arial" w:hAnsi="Arial"/>
          <w:b/>
          <w:bCs/>
          <w:color w:val="1B3A5C"/>
          <w:sz w:val="20"/>
          <w:szCs w:val="20"/>
        </w:rPr>
        <w:t xml:space="preserve">Rule 3 — New Event Types for Breaking Changes: </w:t>
      </w:r>
      <w:r>
        <w:rPr>
          <w:rFonts w:ascii="Arial" w:cs="Arial" w:eastAsia="Arial" w:hAnsi="Arial"/>
          <w:color w:val="546E7A"/>
          <w:sz w:val="20"/>
          <w:szCs w:val="20"/>
        </w:rPr>
        <w:t xml:space="preserve">If a change is not backward-compatible (e.g., changing the structure of the attribution object in Decision Cards), introduce a new event_type (DECISION_CARD_V2) rather than modifying the existing event_type. Consumers opt into V2 processing when ready.</w:t>
      </w:r>
    </w:p>
    <w:p>
      <w:pPr>
        <w:spacing w:after="80"/>
      </w:pPr>
      <w:r>
        <w:rPr>
          <w:rFonts w:ascii="Arial" w:cs="Arial" w:eastAsia="Arial" w:hAnsi="Arial"/>
          <w:b/>
          <w:bCs/>
          <w:color w:val="1B3A5C"/>
          <w:sz w:val="20"/>
          <w:szCs w:val="20"/>
        </w:rPr>
        <w:t xml:space="preserve">Rule 4 — Schema Version in Envelope: </w:t>
      </w:r>
      <w:r>
        <w:rPr>
          <w:rFonts w:ascii="Arial" w:cs="Arial" w:eastAsia="Arial" w:hAnsi="Arial"/>
          <w:color w:val="546E7A"/>
          <w:sz w:val="20"/>
          <w:szCs w:val="20"/>
        </w:rPr>
        <w:t xml:space="preserve">Every message carries schema_version in the envelope and headers. Consumers can branch on schema version to handle different payload structures during migration periods.</w:t>
      </w:r>
    </w:p>
    <w:p>
      <w:pPr>
        <w:spacing w:after="80"/>
      </w:pPr>
      <w:r>
        <w:rPr>
          <w:rFonts w:ascii="Arial" w:cs="Arial" w:eastAsia="Arial" w:hAnsi="Arial"/>
          <w:b/>
          <w:bCs/>
          <w:color w:val="1B3A5C"/>
          <w:sz w:val="20"/>
          <w:szCs w:val="20"/>
        </w:rPr>
        <w:t xml:space="preserve">Rule 5 — Schema Registry (Phase 2): </w:t>
      </w:r>
      <w:r>
        <w:rPr>
          <w:rFonts w:ascii="Arial" w:cs="Arial" w:eastAsia="Arial" w:hAnsi="Arial"/>
          <w:color w:val="546E7A"/>
          <w:sz w:val="20"/>
          <w:szCs w:val="20"/>
        </w:rPr>
        <w:t xml:space="preserve">For production maturity, adopt Confluent Schema Registry (or Redpanda Schema Registry) with Avro or JSON Schema. Schemas registered per topic. Producer validates against schema before publishing. Consumer fetches schema by ID from registry. Schema compatibility rules (BACKWARD) enforced at registry level. This is a Phase 2 investment — Sprint 1 uses JSON with schema_version in headers.</w:t>
      </w:r>
    </w:p>
    <w:p>
      <w:r>
        <w:br w:type="page"/>
      </w:r>
    </w:p>
    <w:p>
      <w:pPr>
        <w:pStyle w:val="Heading1"/>
        <w:spacing w:after="200" w:before="400"/>
      </w:pPr>
      <w:r>
        <w:rPr>
          <w:rFonts w:ascii="Arial" w:cs="Arial" w:eastAsia="Arial" w:hAnsi="Arial"/>
          <w:b/>
          <w:bCs/>
          <w:color w:val="1B3A5C"/>
          <w:sz w:val="30"/>
          <w:szCs w:val="30"/>
        </w:rPr>
        <w:t xml:space="preserve">9. Data Lake Offload: Kafka → Apache Iceberg on S3</w:t>
      </w:r>
    </w:p>
    <w:p>
      <w:pPr>
        <w:spacing w:after="120"/>
      </w:pPr>
      <w:r>
        <w:rPr>
          <w:rFonts w:ascii="Arial" w:cs="Arial" w:eastAsia="Arial" w:hAnsi="Arial"/>
          <w:color w:val="546E7A"/>
          <w:sz w:val="20"/>
          <w:szCs w:val="20"/>
        </w:rPr>
        <w:t xml:space="preserve">Kafka retention is bounded (7–180 days depending on topic). Long-term analytics and regulatory archival require offloading to a data lake. Apache Iceberg on S3 is the recommended cold storage tier.</w:t>
      </w:r>
    </w:p>
    <w:p>
      <w:pPr>
        <w:spacing w:after="60"/>
      </w:pPr>
    </w:p>
    <w:p>
      <w:pPr>
        <w:pStyle w:val="Heading2"/>
        <w:spacing w:after="140" w:before="280"/>
      </w:pPr>
      <w:r>
        <w:rPr>
          <w:rFonts w:ascii="Arial" w:cs="Arial" w:eastAsia="Arial" w:hAnsi="Arial"/>
          <w:b/>
          <w:bCs/>
          <w:color w:val="2E75B6"/>
          <w:sz w:val="24"/>
          <w:szCs w:val="24"/>
        </w:rPr>
        <w:t xml:space="preserve">9.1 Architecture</w:t>
      </w:r>
    </w:p>
    <w:p>
      <w:pPr>
        <w:spacing w:after="80"/>
      </w:pPr>
      <w:r>
        <w:rPr>
          <w:rFonts w:ascii="Arial" w:cs="Arial" w:eastAsia="Arial" w:hAnsi="Arial"/>
          <w:b/>
          <w:bCs/>
          <w:color w:val="1B3A5C"/>
          <w:sz w:val="20"/>
          <w:szCs w:val="20"/>
        </w:rPr>
        <w:t xml:space="preserve">Flink Iceberg Sink Job: </w:t>
      </w:r>
      <w:r>
        <w:rPr>
          <w:rFonts w:ascii="Arial" w:cs="Arial" w:eastAsia="Arial" w:hAnsi="Arial"/>
          <w:color w:val="546E7A"/>
          <w:sz w:val="20"/>
          <w:szCs w:val="20"/>
        </w:rPr>
        <w:t xml:space="preserve">A dedicated Flink job (cg-datalake consumer group) subscribes to ALL ingestion and Flink output topics. It writes events to Apache Iceberg tables on S3, partitioned by tenant_id + date. Exactly-once delivery via Flink’s Iceberg sink connector (ACID writes to Iceberg). This job runs at low priority — it can tolerate minutes of lag without clinical impact.</w:t>
      </w:r>
    </w:p>
    <w:p>
      <w:pPr>
        <w:spacing w:after="80"/>
      </w:pPr>
      <w:r>
        <w:rPr>
          <w:rFonts w:ascii="Arial" w:cs="Arial" w:eastAsia="Arial" w:hAnsi="Arial"/>
          <w:b/>
          <w:bCs/>
          <w:color w:val="1B3A5C"/>
          <w:sz w:val="20"/>
          <w:szCs w:val="20"/>
        </w:rPr>
        <w:t xml:space="preserve">Iceberg Table Structure: </w:t>
      </w:r>
      <w:r>
        <w:rPr>
          <w:rFonts w:ascii="Arial" w:cs="Arial" w:eastAsia="Arial" w:hAnsi="Arial"/>
          <w:color w:val="546E7A"/>
          <w:sz w:val="20"/>
          <w:szCs w:val="20"/>
        </w:rPr>
        <w:t xml:space="preserve">One Iceberg table per topic group: iceberg.ingestion_events (all ingestion topics merged), iceberg.intake_events (all intake topics), iceberg.flink_events (all Flink output topics), iceberg.clinical_events (decision cards, coaching), iceberg.audit_trail (ops.audit-trail). Each table partitioned by: PARTITION BY (tenant_id, DATE(timestamp)). Iceberg’s hidden partitioning makes this transparent to query engines.</w:t>
      </w:r>
    </w:p>
    <w:p>
      <w:pPr>
        <w:spacing w:after="80"/>
      </w:pPr>
      <w:r>
        <w:rPr>
          <w:rFonts w:ascii="Arial" w:cs="Arial" w:eastAsia="Arial" w:hAnsi="Arial"/>
          <w:b/>
          <w:bCs/>
          <w:color w:val="1B3A5C"/>
          <w:sz w:val="20"/>
          <w:szCs w:val="20"/>
        </w:rPr>
        <w:t xml:space="preserve">Query Engine: </w:t>
      </w:r>
      <w:r>
        <w:rPr>
          <w:rFonts w:ascii="Arial" w:cs="Arial" w:eastAsia="Arial" w:hAnsi="Arial"/>
          <w:color w:val="546E7A"/>
          <w:sz w:val="20"/>
          <w:szCs w:val="20"/>
        </w:rPr>
        <w:t xml:space="preserve">Athena (serverless) or Spark for ad-hoc queries. Population health analytics, cohort analysis, insurance claims reports, government HMIS aggregations all run against Iceberg tables, NEVER against Kafka topics directly. This decouples analytics load from the real-time clinical pipeline.</w:t>
      </w:r>
    </w:p>
    <w:p>
      <w:pPr>
        <w:spacing w:after="80"/>
      </w:pPr>
      <w:r>
        <w:rPr>
          <w:rFonts w:ascii="Arial" w:cs="Arial" w:eastAsia="Arial" w:hAnsi="Arial"/>
          <w:b/>
          <w:bCs/>
          <w:color w:val="1B3A5C"/>
          <w:sz w:val="20"/>
          <w:szCs w:val="20"/>
        </w:rPr>
        <w:t xml:space="preserve">Retention: </w:t>
      </w:r>
      <w:r>
        <w:rPr>
          <w:rFonts w:ascii="Arial" w:cs="Arial" w:eastAsia="Arial" w:hAnsi="Arial"/>
          <w:color w:val="546E7A"/>
          <w:sz w:val="20"/>
          <w:szCs w:val="20"/>
        </w:rPr>
        <w:t xml:space="preserve">Iceberg tables retain data for 7 years (Indian MCI medical record guidelines). Iceberg’s expire_snapshots and remove_orphan_files maintenance tasks prevent unbounded S3 storage growth while preserving historical data.</w:t>
      </w:r>
    </w:p>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WHY ICEBERG: The architect’s proposal mentions ‘S3 / Iceberg / Delta’ for long-term storage but doesn’t commit to one. Iceberg wins for three reasons: (1) Flink has first-class Iceberg sink support with exactly-once ACID writes (the Dynamic Iceberg Sink, released in Flink 1.18, supports schema evolution and auto-table-creation), (2) Iceberg’s hidden partitioning means analysts don’t need to know the partition scheme, (3) Iceberg is open-source with no vendor lock-in, supported by Athena, Spark, Trino, and Presto. Delta Lake has Databricks affinity but weaker Flink integration.</w:t>
      </w:r>
    </w:p>
    <w:p>
      <w:r>
        <w:br w:type="page"/>
      </w:r>
    </w:p>
    <w:p>
      <w:pPr>
        <w:pStyle w:val="Heading1"/>
        <w:spacing w:after="200" w:before="400"/>
      </w:pPr>
      <w:r>
        <w:rPr>
          <w:rFonts w:ascii="Arial" w:cs="Arial" w:eastAsia="Arial" w:hAnsi="Arial"/>
          <w:b/>
          <w:bCs/>
          <w:color w:val="1B3A5C"/>
          <w:sz w:val="30"/>
          <w:szCs w:val="30"/>
        </w:rPr>
        <w:t xml:space="preserve">10. Kafka Cluster Sizing</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1000"/>
        <w:gridCol w:w="1000"/>
        <w:gridCol w:w="1200"/>
        <w:gridCol w:w="1000"/>
        <w:gridCol w:w="1000"/>
        <w:gridCol w:w="5680"/>
      </w:tblGrid>
      <w:tr>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Scale Tier</w:t>
            </w:r>
          </w:p>
        </w:tc>
        <w:tc>
          <w:tcPr>
            <w:tcW w:type="dxa" w:w="7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Patients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Events/Day (est.)</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Peak Events/Sec</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Data Volume/Day</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Brokers (AWS MSK)</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Instance Type</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Total Partitions</w:t>
            </w:r>
          </w:p>
        </w:tc>
        <w:tc>
          <w:tcPr>
            <w:tcW w:type="dxa" w:w="56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Notes</w:t>
            </w:r>
          </w:p>
        </w:tc>
      </w:tr>
      <w:tr>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Pilot</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1K–10K</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~100K</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~5/sec</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~200 MB</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 (minimum MSK cluster)</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kafka.m5.large</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 (across 18 topics)</w:t>
            </w:r>
          </w:p>
        </w:tc>
        <w:tc>
          <w:tcPr>
            <w:tcW w:type="dxa" w:w="5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Comfortably within single-broker capacity. MSK managed, KRaft mode.</w:t>
            </w:r>
          </w:p>
        </w:tc>
      </w:tr>
      <w:tr>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Growth</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10K–100K</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~1M–10M</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~50–115/sec</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~2–20 GB</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3–6</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kafka.m5.xlarge</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~150–300</w:t>
            </w:r>
          </w:p>
        </w:tc>
        <w:tc>
          <w:tcPr>
            <w:tcW w:type="dxa" w:w="5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CGM raw topic drives volume if CGM adoption grows. Monitor broker disk utilization.</w:t>
            </w:r>
          </w:p>
        </w:tc>
      </w:tr>
      <w:tr>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Scale</w:t>
            </w:r>
          </w:p>
        </w:tc>
        <w:tc>
          <w:tcPr>
            <w:tcW w:type="dxa" w:w="7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100K–1M</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~10M–100M</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~115–1,150/sec</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~20–200 GB</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6–12</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kafka.m5.2xlarge</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~300–600</w:t>
            </w:r>
          </w:p>
        </w:tc>
        <w:tc>
          <w:tcPr>
            <w:tcW w:type="dxa" w:w="5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At this scale: dedicated brokers for high-volume topics (patient-reported, cgm-raw). Multi-AZ for durability.</w:t>
            </w:r>
          </w:p>
        </w:tc>
      </w:tr>
      <w:tr>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Enterprise</w:t>
            </w:r>
          </w:p>
        </w:tc>
        <w:tc>
          <w:tcPr>
            <w:tcW w:type="dxa" w:w="7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1M+</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~100M+</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~1,150+/sec</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~200+ GB</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kafka.m5.4xlarge or tiered storage</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~600+</w:t>
            </w:r>
          </w:p>
        </w:tc>
        <w:tc>
          <w:tcPr>
            <w:tcW w:type="dxa" w:w="5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Kafka tiered storage (offload cold segments to S3) becomes essential. Consider Confluent Cloud or Redpanda for managed operations at this scale.</w:t>
            </w:r>
          </w:p>
        </w:tc>
      </w:tr>
    </w:tbl>
    <w:p>
      <w:pPr>
        <w:spacing w:after="60"/>
      </w:pPr>
    </w:p>
    <w:p>
      <w:pPr>
        <w:spacing w:after="80"/>
      </w:pPr>
      <w:r>
        <w:rPr>
          <w:rFonts w:ascii="Arial" w:cs="Arial" w:eastAsia="Arial" w:hAnsi="Arial"/>
          <w:b/>
          <w:bCs/>
          <w:color w:val="1B3A5C"/>
          <w:sz w:val="20"/>
          <w:szCs w:val="20"/>
        </w:rPr>
        <w:t xml:space="preserve">AWS MSK Configuration: </w:t>
      </w:r>
      <w:r>
        <w:rPr>
          <w:rFonts w:ascii="Arial" w:cs="Arial" w:eastAsia="Arial" w:hAnsi="Arial"/>
          <w:color w:val="546E7A"/>
          <w:sz w:val="20"/>
          <w:szCs w:val="20"/>
        </w:rPr>
        <w:t xml:space="preserve">Region: ap-south-1 (Mumbai). Replication factor: 3 (across 3 AZs for durability). min.insync.replicas: 2 (allows one broker failure without data loss). KRaft mode (no ZooKeeper, Kafka 4.0+): supports 200K+ partitions per cluster. Encryption: TLS in transit + AES-256 at rest (AWS MSK default). Authentication: SASL/SCRAM for service-to-service, IAM for Flink jobs.</w:t>
      </w:r>
    </w:p>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COST NOTE: At pilot scale (10K patients, 3 kafka.m5.large brokers on MSK): ~$450/month. At growth scale (100K patients, 6 kafka.m5.xlarge): ~$2,400/month. At scale (1M patients, 12 kafka.m5.2xlarge): ~$12,000/month. Kafka infrastructure is a small fraction of total cloud cost compared to PostgreSQL RDS, EKS, and S3. The ROI of correct topic design is avoiding a $100K+ re-architecture at 100K patients because the monolithic topic design couldn’t handle the load.</w:t>
      </w:r>
    </w:p>
    <w:p>
      <w:r>
        <w:br w:type="page"/>
      </w:r>
    </w:p>
    <w:p>
      <w:pPr>
        <w:pStyle w:val="Heading1"/>
        <w:spacing w:after="200" w:before="400"/>
      </w:pPr>
      <w:r>
        <w:rPr>
          <w:rFonts w:ascii="Arial" w:cs="Arial" w:eastAsia="Arial" w:hAnsi="Arial"/>
          <w:b/>
          <w:bCs/>
          <w:color w:val="1B3A5C"/>
          <w:sz w:val="30"/>
          <w:szCs w:val="30"/>
        </w:rPr>
        <w:t xml:space="preserve">11. Monitoring &amp; Alerting</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200"/>
        <w:gridCol w:w="5280"/>
      </w:tblGrid>
      <w:tr>
        <w:tc>
          <w:tcPr>
            <w:tcW w:type="dxa" w:w="3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3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Alert Threshold</w:t>
            </w:r>
          </w:p>
        </w:tc>
        <w:tc>
          <w:tcPr>
            <w:tcW w:type="dxa" w:w="5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Clinical Impact If Violated</w:t>
            </w:r>
          </w:p>
        </w:tc>
      </w:tr>
      <w:tr>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Consumer group lag (messages behind) per topic per consumer group</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Kafka broker metrics (kafka.consumer.lag)</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ingestion.safety-critical: lag &gt; 10 messages. All other topics: lag &gt; 1,000 messages sustained &gt; 5 min.</w:t>
            </w:r>
          </w:p>
        </w:tc>
        <w:tc>
          <w:tcPr>
            <w:tcW w:type="dxa" w:w="5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Safety-critical lag means physician notifications are delayed. Routine lag means MRI scores and Decision Cards are stale. Both degrade clinical quality.</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Outbox relay backlog (unpublished events)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Application metrics (outbox_unpublished_count)</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Backlog &gt; 0 sustained &gt; 2 minutes for critical priority. Backlog &gt; 100 sustained &gt; 10 minutes for routine.</w:t>
            </w:r>
          </w:p>
        </w:tc>
        <w:tc>
          <w:tcPr>
            <w:tcW w:type="dxa" w:w="5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Unpublished outbox events = pipeline stall. If critical events are stuck in outbox, the entire safety detection system is blind.</w:t>
            </w:r>
          </w:p>
        </w:tc>
      </w:tr>
      <w:tr>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 checkpoint duration</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Flink metrics (checkpoint_duration_ms)</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Duration &gt; 50% of checkpoint interval (e.g., &gt;15s for 30s interval)</w:t>
            </w:r>
          </w:p>
        </w:tc>
        <w:tc>
          <w:tcPr>
            <w:tcW w:type="dxa" w:w="5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Long checkpoints indicate state size or I/O issues. Failed checkpoints mean Flink will replay from further back on failure, increasing recovery time.</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checkpoint failures</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Flink metrics (checkpoints_failed_total)</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&gt; 3 consecutive failures</w:t>
            </w:r>
          </w:p>
        </w:tc>
        <w:tc>
          <w:tcPr>
            <w:tcW w:type="dxa" w:w="5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Checkpoint failures degrade exactly-once guarantee. If Flink cannot checkpoint, a crash will cause data loss or duplication.</w:t>
            </w:r>
          </w:p>
        </w:tc>
      </w:tr>
      <w:tr>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Topic partition count vs consumer count</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Kafka admin API</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Partitions &lt; consumer instances in any consumer group</w:t>
            </w:r>
          </w:p>
        </w:tc>
        <w:tc>
          <w:tcPr>
            <w:tcW w:type="dxa" w:w="5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Idle consumers (more consumers than partitions). Waste of resources. Or: too few partitions for the consumer parallelism needed.</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Broker disk utilization</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MSK CloudWatch (KafkaBrokerStorageUsed)</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&gt; 75% disk usage on any broker</w:t>
            </w:r>
          </w:p>
        </w:tc>
        <w:tc>
          <w:tcPr>
            <w:tcW w:type="dxa" w:w="5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Risk of broker running out of disk, which causes partition leadership loss. Trigger: increase retention cleanup or add broker storage.</w:t>
            </w:r>
          </w:p>
        </w:tc>
      </w:tr>
      <w:tr>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End-to-end latency: ingestion receipt to KB-22 deterioration alert</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Custom trace metric (OTel span duration)</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P99 &gt; 5 seconds for safety-critical path. P99 &gt; 60 seconds for routine path.</w:t>
            </w:r>
          </w:p>
        </w:tc>
        <w:tc>
          <w:tcPr>
            <w:tcW w:type="dxa" w:w="5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Exceeding 5s on safety-critical path means a dangerous glucose reading takes too long to reach the physician. This is a clinical safety SLA.</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DLQ volume growth rate</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Kafka topic metrics (ops.dlq message count)</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&gt; 50 new DLQ messages per hour</w:t>
            </w:r>
          </w:p>
        </w:tc>
        <w:tc>
          <w:tcPr>
            <w:tcW w:type="dxa" w:w="5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Systematic data quality problem (lab changed format, ABDM API breaking change). Needs immediate investigation.</w:t>
            </w:r>
          </w:p>
        </w:tc>
      </w:tr>
    </w:tbl>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GRAFANA DASHBOARDS: (1) Kafka Pipeline Overview: per-topic throughput, consumer lag heatmap, partition distribution. (2) Safety Critical Path: end-to-end latency from ingestion.safety-critical publish to physician notification delivery, with P50/P95/P99. (3) Flink Health: checkpoint duration, checkpoint success rate, state size, backpressure per operator. (4) Outbox Relay: backlog by priority, publish rate, DLQ count. These four dashboards should be on a shared screen in the engineering war room during the pilot.</w:t>
      </w:r>
    </w:p>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FINAL ARCHITECTURAL NOTE: The architect’s proposal of 8–10 topics is too coarse. 18 topics (9 ingestion + 4 intake + 5 Flink output + 3 clinical engine + 3 operational) is the right granularity for a clinical system that must support: (1) sub-5-second safety-critical event latency, (2) per-source-type retention policies, (3) independent consumer scaling per data category, (4) Flink exactly-once processing with per-job checkpoint tuning, (5) regulatory audit trail retention (7 years), (6) data lake offload for population analytics, and (7) scaling from 1K to 1M patients without re-architecture. The additional operational complexity of 18 topics vs 10 is minimal (Kafka handles this effortlessly with KRaft mode) and is vastly outweighed by the flexibility, safety, and scalability benefits.</w:t>
      </w:r>
    </w:p>
    <w:sectPr>
      <w:headerReference w:type="default" r:id="rId7"/>
      <w:footerReference w:type="default" r:id="rId8"/>
      <w:pgSz w:w="12240" w:h="15840"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3"/>
        <w:szCs w:val="13"/>
      </w:rPr>
      <w:t xml:space="preserve">Page </w:t>
    </w:r>
    <w:r>
      <w:rPr>
        <w:rFonts w:ascii="Arial" w:cs="Arial" w:eastAsia="Arial" w:hAnsi="Arial"/>
        <w:color w:val="90A4A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4"/>
        <w:szCs w:val="14"/>
      </w:rPr>
      <w:t xml:space="preserve">Vaidshala Kafka Topic Architecture — Production-Grade Design</w:t>
    </w:r>
    <w:r>
      <w:rPr>
        <w:rFonts w:ascii="Arial" w:cs="Arial" w:eastAsia="Arial" w:hAnsi="Arial"/>
        <w:b/>
        <w:bCs/>
        <w:color w:val="C62828"/>
        <w:sz w:val="13"/>
        <w:szCs w:val="13"/>
      </w:rPr>
      <w:t xml:space="preserve">    ENGINEERING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2026-03-22T08:27:17.083Z</dcterms:created>
  <dcterms:modified xsi:type="dcterms:W3CDTF">2026-03-22T08:27:17.084Z</dcterms:modified>
</cp:coreProperties>
</file>

<file path=docProps/custom.xml><?xml version="1.0" encoding="utf-8"?>
<Properties xmlns="http://schemas.openxmlformats.org/officeDocument/2006/custom-properties" xmlns:vt="http://schemas.openxmlformats.org/officeDocument/2006/docPropsVTypes"/>
</file>