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Pusher Dynamic Step Document</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rPr>
          <w:color w:val="666666"/>
          <w:sz w:val="30"/>
          <w:szCs w:val="30"/>
        </w:rPr>
      </w:pPr>
      <w:r w:rsidDel="00000000" w:rsidR="00000000" w:rsidRPr="00000000">
        <w:rPr>
          <w:color w:val="666666"/>
          <w:sz w:val="30"/>
          <w:szCs w:val="30"/>
          <w:rtl w:val="0"/>
        </w:rPr>
        <w:t xml:space="preserve">Objective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Pusher Channels provides real-time communication between servers, apps, and devices. Pusher Channels is used for notifications, chat, gaming, web-page updates, IoT, and many other systems requiring real-time communication.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color w:val="666666"/>
          <w:sz w:val="30"/>
          <w:szCs w:val="30"/>
        </w:rPr>
      </w:pPr>
      <w:r w:rsidDel="00000000" w:rsidR="00000000" w:rsidRPr="00000000">
        <w:rPr>
          <w:color w:val="666666"/>
          <w:sz w:val="30"/>
          <w:szCs w:val="30"/>
          <w:rtl w:val="0"/>
        </w:rPr>
        <w:t xml:space="preserve">UI</w:t>
      </w:r>
    </w:p>
    <w:p w:rsidR="00000000" w:rsidDel="00000000" w:rsidP="00000000" w:rsidRDefault="00000000" w:rsidRPr="00000000" w14:paraId="00000008">
      <w:pPr>
        <w:spacing w:line="360" w:lineRule="auto"/>
        <w:rPr>
          <w:color w:val="666666"/>
          <w:sz w:val="30"/>
          <w:szCs w:val="30"/>
        </w:rPr>
      </w:pPr>
      <w:r w:rsidDel="00000000" w:rsidR="00000000" w:rsidRPr="00000000">
        <w:rPr>
          <w:color w:val="666666"/>
          <w:sz w:val="30"/>
          <w:szCs w:val="30"/>
        </w:rPr>
        <w:drawing>
          <wp:inline distB="114300" distT="114300" distL="114300" distR="114300">
            <wp:extent cx="5943600" cy="5143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color w:val="666666"/>
          <w:sz w:val="30"/>
          <w:szCs w:val="30"/>
        </w:rPr>
      </w:pPr>
      <w:r w:rsidDel="00000000" w:rsidR="00000000" w:rsidRPr="00000000">
        <w:rPr>
          <w:color w:val="666666"/>
          <w:sz w:val="30"/>
          <w:szCs w:val="30"/>
        </w:rPr>
        <w:drawing>
          <wp:inline distB="114300" distT="114300" distL="114300" distR="114300">
            <wp:extent cx="5943600" cy="471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color w:val="666666"/>
          <w:sz w:val="30"/>
          <w:szCs w:val="30"/>
        </w:rPr>
      </w:pPr>
      <w:r w:rsidDel="00000000" w:rsidR="00000000" w:rsidRPr="00000000">
        <w:rPr>
          <w:rtl w:val="0"/>
        </w:rPr>
      </w:r>
    </w:p>
    <w:p w:rsidR="00000000" w:rsidDel="00000000" w:rsidP="00000000" w:rsidRDefault="00000000" w:rsidRPr="00000000" w14:paraId="0000000B">
      <w:pPr>
        <w:spacing w:line="360" w:lineRule="auto"/>
        <w:rPr>
          <w:color w:val="666666"/>
          <w:sz w:val="30"/>
          <w:szCs w:val="30"/>
        </w:rPr>
      </w:pPr>
      <w:r w:rsidDel="00000000" w:rsidR="00000000" w:rsidRPr="00000000">
        <w:rPr>
          <w:color w:val="666666"/>
          <w:sz w:val="30"/>
          <w:szCs w:val="30"/>
          <w:rtl w:val="0"/>
        </w:rPr>
        <w:t xml:space="preserve">Attributes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color w:val="666666"/>
                <w:sz w:val="30"/>
                <w:szCs w:val="30"/>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666666"/>
                <w:sz w:val="30"/>
                <w:szCs w:val="30"/>
              </w:rPr>
            </w:pPr>
            <w:r w:rsidDel="00000000" w:rsidR="00000000" w:rsidRPr="00000000">
              <w:rPr>
                <w:rFonts w:ascii="Times New Roman" w:cs="Times New Roman" w:eastAsia="Times New Roman" w:hAnsi="Times New Roman"/>
                <w:b w:val="1"/>
                <w:sz w:val="24"/>
                <w:szCs w:val="24"/>
                <w:rtl w:val="0"/>
              </w:rPr>
              <w:t xml:space="preserve">                          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color w:val="666666"/>
                <w:sz w:val="30"/>
                <w:szCs w:val="30"/>
              </w:rPr>
            </w:pPr>
            <w:r w:rsidDel="00000000" w:rsidR="00000000" w:rsidRPr="00000000">
              <w:rPr>
                <w:rFonts w:ascii="Times New Roman" w:cs="Times New Roman" w:eastAsia="Times New Roman" w:hAnsi="Times New Roman"/>
                <w:b w:val="1"/>
                <w:sz w:val="24"/>
                <w:szCs w:val="24"/>
                <w:rtl w:val="0"/>
              </w:rPr>
              <w:t xml:space="preserve">1. Template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 used to set the value type.</w:t>
              <w:tab/>
              <w:tab/>
              <w:t xml:space="preserve">Value </w:t>
              <w:tab/>
              <w:t xml:space="preserve">types are two types.</w:t>
              <w:tab/>
              <w:tab/>
            </w:r>
          </w:p>
          <w:p w:rsidR="00000000" w:rsidDel="00000000" w:rsidP="00000000" w:rsidRDefault="00000000" w:rsidRPr="00000000" w14:paraId="000000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1">
            <w:pPr>
              <w:widowControl w:val="0"/>
              <w:rPr>
                <w:color w:val="666666"/>
                <w:sz w:val="30"/>
                <w:szCs w:val="30"/>
              </w:rPr>
            </w:pPr>
            <w:r w:rsidDel="00000000" w:rsidR="00000000" w:rsidRPr="00000000">
              <w:rPr>
                <w:rFonts w:ascii="Times New Roman" w:cs="Times New Roman" w:eastAsia="Times New Roman" w:hAnsi="Times New Roman"/>
                <w:sz w:val="24"/>
                <w:szCs w:val="24"/>
                <w:rtl w:val="0"/>
              </w:rPr>
              <w:t xml:space="preserve">2.ftl-Freemarker </w:t>
              <w:tab/>
              <w:tab/>
              <w:tab/>
              <w:t xml:space="preserve">Template Language.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color w:val="666666"/>
                <w:sz w:val="30"/>
                <w:szCs w:val="30"/>
              </w:rPr>
            </w:pPr>
            <w:r w:rsidDel="00000000" w:rsidR="00000000" w:rsidRPr="00000000">
              <w:rPr>
                <w:rFonts w:ascii="Times New Roman" w:cs="Times New Roman" w:eastAsia="Times New Roman" w:hAnsi="Times New Roman"/>
                <w:b w:val="1"/>
                <w:sz w:val="24"/>
                <w:szCs w:val="24"/>
                <w:rtl w:val="0"/>
              </w:rPr>
              <w:t xml:space="preserve">2. Enter event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color w:val="666666"/>
                <w:sz w:val="30"/>
                <w:szCs w:val="30"/>
              </w:rPr>
            </w:pPr>
            <w:r w:rsidDel="00000000" w:rsidR="00000000" w:rsidRPr="00000000">
              <w:rPr>
                <w:rFonts w:ascii="Times New Roman" w:cs="Times New Roman" w:eastAsia="Times New Roman" w:hAnsi="Times New Roman"/>
                <w:sz w:val="24"/>
                <w:szCs w:val="24"/>
                <w:rtl w:val="0"/>
              </w:rPr>
              <w:t xml:space="preserve">The name of the event to bind to.Events </w:t>
              <w:tab/>
              <w:t xml:space="preserve">are the primary method of packaging messages in the Channels system. they form the basis of all communication.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color w:val="666666"/>
                <w:sz w:val="30"/>
                <w:szCs w:val="30"/>
              </w:rPr>
            </w:pPr>
            <w:r w:rsidDel="00000000" w:rsidR="00000000" w:rsidRPr="00000000">
              <w:rPr>
                <w:rFonts w:ascii="Times New Roman" w:cs="Times New Roman" w:eastAsia="Times New Roman" w:hAnsi="Times New Roman"/>
                <w:b w:val="1"/>
                <w:sz w:val="24"/>
                <w:szCs w:val="24"/>
                <w:rtl w:val="0"/>
              </w:rPr>
              <w:t xml:space="preserve">3. Enter the notification 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color w:val="666666"/>
                <w:sz w:val="30"/>
                <w:szCs w:val="30"/>
              </w:rPr>
            </w:pPr>
            <w:r w:rsidDel="00000000" w:rsidR="00000000" w:rsidRPr="00000000">
              <w:rPr>
                <w:rFonts w:ascii="Times New Roman" w:cs="Times New Roman" w:eastAsia="Times New Roman" w:hAnsi="Times New Roman"/>
                <w:sz w:val="24"/>
                <w:szCs w:val="24"/>
                <w:rtl w:val="0"/>
              </w:rPr>
              <w:t xml:space="preserve">A message having information to provide the notification when the </w:t>
              <w:tab/>
              <w:t xml:space="preserve">event trigger.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color w:val="666666"/>
                <w:sz w:val="30"/>
                <w:szCs w:val="30"/>
              </w:rPr>
            </w:pPr>
            <w:r w:rsidDel="00000000" w:rsidR="00000000" w:rsidRPr="00000000">
              <w:rPr>
                <w:rFonts w:ascii="Times New Roman" w:cs="Times New Roman" w:eastAsia="Times New Roman" w:hAnsi="Times New Roman"/>
                <w:b w:val="1"/>
                <w:sz w:val="24"/>
                <w:szCs w:val="24"/>
                <w:rtl w:val="0"/>
              </w:rPr>
              <w:t xml:space="preserve">4. Enter the channel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color w:val="666666"/>
                <w:sz w:val="30"/>
                <w:szCs w:val="30"/>
              </w:rPr>
            </w:pPr>
            <w:r w:rsidDel="00000000" w:rsidR="00000000" w:rsidRPr="00000000">
              <w:rPr>
                <w:rFonts w:ascii="Times New Roman" w:cs="Times New Roman" w:eastAsia="Times New Roman" w:hAnsi="Times New Roman"/>
                <w:sz w:val="24"/>
                <w:szCs w:val="24"/>
                <w:rtl w:val="0"/>
              </w:rPr>
              <w:t xml:space="preserve">Provide the name of the channel.Each application can one channel or many, and each client can choose which channels it subscribes 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color w:val="666666"/>
                <w:sz w:val="30"/>
                <w:szCs w:val="30"/>
              </w:rPr>
            </w:pPr>
            <w:r w:rsidDel="00000000" w:rsidR="00000000" w:rsidRPr="00000000">
              <w:rPr>
                <w:rFonts w:ascii="Times New Roman" w:cs="Times New Roman" w:eastAsia="Times New Roman" w:hAnsi="Times New Roman"/>
                <w:b w:val="1"/>
                <w:sz w:val="24"/>
                <w:szCs w:val="24"/>
                <w:rtl w:val="0"/>
              </w:rPr>
              <w:t xml:space="preserve">5. Enter pusher notification plugin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color w:val="666666"/>
                <w:sz w:val="30"/>
                <w:szCs w:val="30"/>
              </w:rPr>
            </w:pPr>
            <w:r w:rsidDel="00000000" w:rsidR="00000000" w:rsidRPr="00000000">
              <w:rPr>
                <w:rFonts w:ascii="Times New Roman" w:cs="Times New Roman" w:eastAsia="Times New Roman" w:hAnsi="Times New Roman"/>
                <w:sz w:val="24"/>
                <w:szCs w:val="24"/>
                <w:rtl w:val="0"/>
              </w:rPr>
              <w:t xml:space="preserve">Provide the plugin, which contains the plusher configurations.For more details about plugin please refer the information which is </w:t>
              <w:tab/>
              <w:t xml:space="preserve">provided in Dependent plugin.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b w:val="1"/>
                <w:color w:val="666666"/>
                <w:sz w:val="30"/>
                <w:szCs w:val="30"/>
              </w:rPr>
            </w:pPr>
            <w:r w:rsidDel="00000000" w:rsidR="00000000" w:rsidRPr="00000000">
              <w:rPr>
                <w:rFonts w:ascii="Times New Roman" w:cs="Times New Roman" w:eastAsia="Times New Roman" w:hAnsi="Times New Roman"/>
                <w:b w:val="1"/>
                <w:sz w:val="24"/>
                <w:szCs w:val="24"/>
                <w:rtl w:val="0"/>
              </w:rPr>
              <w:t xml:space="preserve">6. App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color w:val="666666"/>
                <w:sz w:val="30"/>
                <w:szCs w:val="30"/>
              </w:rPr>
            </w:pPr>
            <w:r w:rsidDel="00000000" w:rsidR="00000000" w:rsidRPr="00000000">
              <w:rPr>
                <w:rFonts w:ascii="Times New Roman" w:cs="Times New Roman" w:eastAsia="Times New Roman" w:hAnsi="Times New Roman"/>
                <w:sz w:val="24"/>
                <w:szCs w:val="24"/>
                <w:rtl w:val="0"/>
              </w:rPr>
              <w:t xml:space="preserve">The application key is a string which is globally unique to your application. It can be found in the API Access section of your</w:t>
              <w:tab/>
              <w:t xml:space="preserve">application within the Channels user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30"/>
                <w:szCs w:val="30"/>
              </w:rPr>
            </w:pPr>
            <w:r w:rsidDel="00000000" w:rsidR="00000000" w:rsidRPr="00000000">
              <w:rPr>
                <w:b w:val="1"/>
                <w:color w:val="666666"/>
                <w:sz w:val="30"/>
                <w:szCs w:val="30"/>
                <w:rtl w:val="0"/>
              </w:rPr>
              <w:t xml:space="preserve">7.</w:t>
            </w:r>
            <w:r w:rsidDel="00000000" w:rsidR="00000000" w:rsidRPr="00000000">
              <w:rPr>
                <w:rFonts w:ascii="Times New Roman" w:cs="Times New Roman" w:eastAsia="Times New Roman" w:hAnsi="Times New Roman"/>
                <w:b w:val="1"/>
                <w:sz w:val="24"/>
                <w:szCs w:val="24"/>
                <w:rtl w:val="0"/>
              </w:rPr>
              <w:t xml:space="preserve">Key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color w:val="666666"/>
                <w:sz w:val="30"/>
                <w:szCs w:val="30"/>
              </w:rPr>
            </w:pPr>
            <w:r w:rsidDel="00000000" w:rsidR="00000000" w:rsidRPr="00000000">
              <w:rPr>
                <w:rFonts w:ascii="Times New Roman" w:cs="Times New Roman" w:eastAsia="Times New Roman" w:hAnsi="Times New Roman"/>
                <w:sz w:val="24"/>
                <w:szCs w:val="24"/>
                <w:rtl w:val="0"/>
              </w:rPr>
              <w:t xml:space="preserve">Your application key, to provide the access.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color w:val="666666"/>
                <w:sz w:val="30"/>
                <w:szCs w:val="30"/>
              </w:rPr>
            </w:pPr>
            <w:r w:rsidDel="00000000" w:rsidR="00000000" w:rsidRPr="00000000">
              <w:rPr>
                <w:rFonts w:ascii="Times New Roman" w:cs="Times New Roman" w:eastAsia="Times New Roman" w:hAnsi="Times New Roman"/>
                <w:b w:val="1"/>
                <w:sz w:val="24"/>
                <w:szCs w:val="24"/>
                <w:rtl w:val="0"/>
              </w:rPr>
              <w:t xml:space="preserve">8.Cluster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color w:val="666666"/>
                <w:sz w:val="30"/>
                <w:szCs w:val="30"/>
              </w:rPr>
            </w:pPr>
            <w:r w:rsidDel="00000000" w:rsidR="00000000" w:rsidRPr="00000000">
              <w:rPr>
                <w:rFonts w:ascii="Times New Roman" w:cs="Times New Roman" w:eastAsia="Times New Roman" w:hAnsi="Times New Roman"/>
                <w:sz w:val="24"/>
                <w:szCs w:val="24"/>
                <w:rtl w:val="0"/>
              </w:rPr>
              <w:t xml:space="preserve">The identifier of the cluster your application was created in. When </w:t>
              <w:tab/>
              <w:t xml:space="preserve">not supplied, will connect to the </w:t>
            </w:r>
            <w:r w:rsidDel="00000000" w:rsidR="00000000" w:rsidRPr="00000000">
              <w:rPr>
                <w:rFonts w:ascii="Times New Roman" w:cs="Times New Roman" w:eastAsia="Times New Roman" w:hAnsi="Times New Roman"/>
                <w:sz w:val="24"/>
                <w:szCs w:val="24"/>
                <w:shd w:fill="f9f2f4" w:val="clear"/>
                <w:rtl w:val="0"/>
              </w:rPr>
              <w:t xml:space="preserve">mt1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9f2f4" w:val="clear"/>
                <w:rtl w:val="0"/>
              </w:rPr>
              <w:t xml:space="preserve">us-east-1</w:t>
            </w:r>
            <w:r w:rsidDel="00000000" w:rsidR="00000000" w:rsidRPr="00000000">
              <w:rPr>
                <w:rFonts w:ascii="Times New Roman" w:cs="Times New Roman" w:eastAsia="Times New Roman" w:hAnsi="Times New Roman"/>
                <w:sz w:val="24"/>
                <w:szCs w:val="24"/>
                <w:rtl w:val="0"/>
              </w:rPr>
              <w:t xml:space="preserve">) cluster.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color w:val="666666"/>
                <w:sz w:val="30"/>
                <w:szCs w:val="30"/>
              </w:rPr>
            </w:pPr>
            <w:r w:rsidDel="00000000" w:rsidR="00000000" w:rsidRPr="00000000">
              <w:rPr>
                <w:rFonts w:ascii="Times New Roman" w:cs="Times New Roman" w:eastAsia="Times New Roman" w:hAnsi="Times New Roman"/>
                <w:b w:val="1"/>
                <w:sz w:val="24"/>
                <w:szCs w:val="24"/>
                <w:rtl w:val="0"/>
              </w:rPr>
              <w:t xml:space="preserve">9.Secret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color w:val="666666"/>
                <w:sz w:val="30"/>
                <w:szCs w:val="30"/>
              </w:rPr>
            </w:pPr>
            <w:r w:rsidDel="00000000" w:rsidR="00000000" w:rsidRPr="00000000">
              <w:rPr>
                <w:rFonts w:ascii="Times New Roman" w:cs="Times New Roman" w:eastAsia="Times New Roman" w:hAnsi="Times New Roman"/>
                <w:sz w:val="24"/>
                <w:szCs w:val="24"/>
                <w:rtl w:val="0"/>
              </w:rPr>
              <w:t xml:space="preserve">All interactions with the Channels HTTP API must contain an authentication signature that is generated with your secret key.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10.Output variable</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To store the response </w:t>
            </w:r>
          </w:p>
        </w:tc>
      </w:tr>
    </w:tbl>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pStyle w:val="Heading2"/>
        <w:keepNext w:val="0"/>
        <w:keepLines w:val="0"/>
        <w:spacing w:after="80" w:line="276" w:lineRule="auto"/>
        <w:rPr>
          <w:rFonts w:ascii="Times New Roman" w:cs="Times New Roman" w:eastAsia="Times New Roman" w:hAnsi="Times New Roman"/>
          <w:b w:val="1"/>
          <w:sz w:val="34"/>
          <w:szCs w:val="34"/>
        </w:rPr>
      </w:pPr>
      <w:bookmarkStart w:colFirst="0" w:colLast="0" w:name="_lioixu7lvm2" w:id="0"/>
      <w:bookmarkEnd w:id="0"/>
      <w:r w:rsidDel="00000000" w:rsidR="00000000" w:rsidRPr="00000000">
        <w:rPr>
          <w:rFonts w:ascii="Times New Roman" w:cs="Times New Roman" w:eastAsia="Times New Roman" w:hAnsi="Times New Roman"/>
          <w:b w:val="1"/>
          <w:sz w:val="34"/>
          <w:szCs w:val="34"/>
          <w:rtl w:val="0"/>
        </w:rPr>
        <w:t xml:space="preserve">Executor Description</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pushMessage method by passing the channel name, event name, and message. Initialize the pusher plugin. Call the trigger method of Pusher API class. This method send the notification on specific channel and event name with notification obj.</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pStyle w:val="Heading2"/>
        <w:keepNext w:val="0"/>
        <w:keepLines w:val="0"/>
        <w:spacing w:after="80" w:line="360" w:lineRule="auto"/>
        <w:rPr>
          <w:b w:val="1"/>
          <w:sz w:val="34"/>
          <w:szCs w:val="34"/>
        </w:rPr>
      </w:pPr>
      <w:bookmarkStart w:colFirst="0" w:colLast="0" w:name="_rztm0x5bic9e" w:id="1"/>
      <w:bookmarkEnd w:id="1"/>
      <w:r w:rsidDel="00000000" w:rsidR="00000000" w:rsidRPr="00000000">
        <w:rPr>
          <w:b w:val="1"/>
          <w:sz w:val="34"/>
          <w:szCs w:val="34"/>
          <w:rtl w:val="0"/>
        </w:rPr>
        <w:t xml:space="preserve">Resource</w:t>
      </w:r>
    </w:p>
    <w:p w:rsidR="00000000" w:rsidDel="00000000" w:rsidP="00000000" w:rsidRDefault="00000000" w:rsidRPr="00000000" w14:paraId="0000002A">
      <w:pPr>
        <w:rPr/>
      </w:pPr>
      <w:r w:rsidDel="00000000" w:rsidR="00000000" w:rsidRPr="00000000">
        <w:rPr>
          <w:rtl w:val="0"/>
        </w:rPr>
        <w:t xml:space="preserve">Please refer the following link for more information.</w:t>
      </w:r>
    </w:p>
    <w:p w:rsidR="00000000" w:rsidDel="00000000" w:rsidP="00000000" w:rsidRDefault="00000000" w:rsidRPr="00000000" w14:paraId="0000002B">
      <w:pPr>
        <w:spacing w:line="36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"https://pusher.com/docs/client_api_guide/client_events"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https://pusher.com/docs/client_api_guide/client_events</w:t>
      </w:r>
    </w:p>
    <w:p w:rsidR="00000000" w:rsidDel="00000000" w:rsidP="00000000" w:rsidRDefault="00000000" w:rsidRPr="00000000" w14:paraId="0000002C">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D">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