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Functionality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Previously in SQL Invoke Stored procedure,only input parameters  is supported. Now new workflow node ‘SQL Invoke Stored Procedure With Parameters’ is developed in order to support both input and output parameters.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Test Scenarios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Install My SQL plugin by providing valid details.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 Workflows-Add Custom Workflows-Add More- Database select ‘SQL Invoke Stored Procedure With Parameters’ node.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Select the plugin and enter the procedure name.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Enter the required input parameters, output parameters and save the node.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Please check the below screenshots for reference.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