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JWT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7341fz4open" w:id="1"/>
      <w:bookmarkEnd w:id="1"/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JSON Web Token (JWT) is an open standard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RFC 7519</w:t>
        </w:r>
      </w:hyperlink>
      <w:r w:rsidDel="00000000" w:rsidR="00000000" w:rsidRPr="00000000">
        <w:rPr>
          <w:sz w:val="24"/>
          <w:szCs w:val="24"/>
          <w:rtl w:val="0"/>
        </w:rPr>
        <w:t xml:space="preserve">) that defines a compact and self-contained way for securely transmitting information between parties as a JSON object. This information can be verified and trusted because it is digitally signed. JWTs can be signed using a secret (with the HMAC algorithm) or a public/private key pair using RSA or ECDSA. The JWT step will be used for creating such a signed JWT token.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jys7zm92qz1" w:id="2"/>
      <w:bookmarkEnd w:id="2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81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tg4rm8v5o62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bcw10aeguma9" w:id="4"/>
      <w:bookmarkEnd w:id="4"/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to store the response of the step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Claims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Claims are statements about an entity (typically, the user) and additional data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Notice that the claim names are only three characters long as JWT is meant to be compact.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are three types of claims: registered, public, and private claims.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Registered claims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These are a set of predefined claims which are not mandatory but recommended, to provide a set of useful, interoperable claims. Some of them are: iss (issuer), exp (expiration time), sub (subject), aud (audience), and others.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 claims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These can be defined at will by those using JWTs. But to avoid collisions they should be defined in the IANA JSON Web Token Registry or be defined as a URI that contains a collision resistant namespace.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Private claims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These are the custom claims created to share information between parties that agree on using them and are neither registered or public claims.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Here subject refers to ‘sub’ in registered claims.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JWT Plugin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name of the plugin which we have configured earlier with signing key.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2ngm9p6elwl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ngm9p6elwl1" w:id="5"/>
      <w:bookmarkEnd w:id="5"/>
      <w:r w:rsidDel="00000000" w:rsidR="00000000" w:rsidRPr="00000000">
        <w:rPr>
          <w:rtl w:val="0"/>
        </w:rPr>
        <w:t xml:space="preserve">Executor Description: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executor class first will get jwt_sign_key from jwt plugin handler by passing signKey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Claim values will add to jwtbuilder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Jwtbuilder object will generate jwt token by using signature algorithm and jwt_sign_key and then finally will put the jwt token into output variable.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2hww9bqtb1ku" w:id="6"/>
      <w:bookmarkEnd w:id="6"/>
      <w:r w:rsidDel="00000000" w:rsidR="00000000" w:rsidRPr="00000000">
        <w:rPr>
          <w:rtl w:val="0"/>
        </w:rPr>
        <w:t xml:space="preserve">Dependent Plugins: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055"/>
        <w:tblGridChange w:id="0">
          <w:tblGrid>
            <w:gridCol w:w="1305"/>
            <w:gridCol w:w="8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Signed and encrypted JWTs carry a header known as the JOSE header (JSON Object Signing and Encryption). This header describes what algorithm (signing or encryption) is used to process the data contained in the JWT.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fpufy8e9cv0a" w:id="7"/>
      <w:bookmarkEnd w:id="7"/>
      <w:r w:rsidDel="00000000" w:rsidR="00000000" w:rsidRPr="00000000">
        <w:rPr>
          <w:rtl w:val="0"/>
        </w:rPr>
        <w:t xml:space="preserve">Resource: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For more information please refer the below link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https://jwt.io/introduction/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ols.ietf.org/html/rfc7519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jwt.io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