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Pusher Dynamic Oauth Step</w:t>
      </w:r>
    </w:p>
    <w:p w:rsidR="00000000" w:rsidDel="00000000" w:rsidP="00000000" w:rsidRDefault="00000000" w:rsidRPr="00000000" w14:paraId="0000000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Objective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Pusher Channels provides real-time communication between servers, apps, and devices. Pusher Channels is used for notifications, chat, gaming, web-page updates, IoT, and many other systems requiring real-time communication.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security is very important so Channels provides a mechanism for authenticating a user’s access to a channel at the point of subscription.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so you must expose an authentication endpoint from your own servers that are called by the Channels WebSocket libraries. Your server can then respond to either allow or deny the subscription.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color w:val="666666"/>
          <w:sz w:val="30"/>
          <w:szCs w:val="30"/>
        </w:rPr>
      </w:pPr>
      <w:r w:rsidDel="00000000" w:rsidR="00000000" w:rsidRPr="00000000">
        <w:rPr>
          <w:color w:val="666666"/>
          <w:sz w:val="30"/>
          <w:szCs w:val="30"/>
          <w:rtl w:val="0"/>
        </w:rPr>
        <w:t xml:space="preserve">UI</w:t>
      </w:r>
      <w:r w:rsidDel="00000000" w:rsidR="00000000" w:rsidRPr="00000000">
        <w:rPr>
          <w:color w:val="666666"/>
          <w:sz w:val="30"/>
          <w:szCs w:val="30"/>
        </w:rPr>
        <w:drawing>
          <wp:inline distB="114300" distT="114300" distL="114300" distR="114300">
            <wp:extent cx="5943600" cy="551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color w:val="666666"/>
          <w:sz w:val="30"/>
          <w:szCs w:val="30"/>
        </w:rPr>
      </w:pPr>
      <w:r w:rsidDel="00000000" w:rsidR="00000000" w:rsidRPr="00000000">
        <w:rPr>
          <w:color w:val="666666"/>
          <w:sz w:val="30"/>
          <w:szCs w:val="30"/>
        </w:rPr>
        <w:drawing>
          <wp:inline distB="114300" distT="114300" distL="114300" distR="114300">
            <wp:extent cx="5943600" cy="458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color w:val="666666"/>
          <w:sz w:val="30"/>
          <w:szCs w:val="30"/>
        </w:rPr>
      </w:pPr>
      <w:r w:rsidDel="00000000" w:rsidR="00000000" w:rsidRPr="00000000">
        <w:rPr>
          <w:rtl w:val="0"/>
        </w:rPr>
      </w:r>
    </w:p>
    <w:p w:rsidR="00000000" w:rsidDel="00000000" w:rsidP="00000000" w:rsidRDefault="00000000" w:rsidRPr="00000000" w14:paraId="0000000B">
      <w:pPr>
        <w:spacing w:line="360" w:lineRule="auto"/>
        <w:rPr>
          <w:color w:val="666666"/>
          <w:sz w:val="30"/>
          <w:szCs w:val="30"/>
        </w:rPr>
      </w:pPr>
      <w:r w:rsidDel="00000000" w:rsidR="00000000" w:rsidRPr="00000000">
        <w:rPr>
          <w:rtl w:val="0"/>
        </w:rPr>
      </w:r>
    </w:p>
    <w:p w:rsidR="00000000" w:rsidDel="00000000" w:rsidP="00000000" w:rsidRDefault="00000000" w:rsidRPr="00000000" w14:paraId="0000000C">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1bjktq369a3a" w:id="0"/>
      <w:bookmarkEnd w:id="0"/>
      <w:r w:rsidDel="00000000" w:rsidR="00000000" w:rsidRPr="00000000">
        <w:rPr>
          <w:rFonts w:ascii="Times New Roman" w:cs="Times New Roman" w:eastAsia="Times New Roman" w:hAnsi="Times New Roman"/>
          <w:b w:val="1"/>
          <w:sz w:val="34"/>
          <w:szCs w:val="34"/>
          <w:rtl w:val="0"/>
        </w:rPr>
        <w:t xml:space="preserve">Attributes</w:t>
      </w:r>
    </w:p>
    <w:p w:rsidR="00000000" w:rsidDel="00000000" w:rsidP="00000000" w:rsidRDefault="00000000" w:rsidRPr="00000000" w14:paraId="0000000D">
      <w:pPr>
        <w:spacing w:line="360" w:lineRule="auto"/>
        <w:rPr>
          <w:rFonts w:ascii="Times New Roman" w:cs="Times New Roman" w:eastAsia="Times New Roman" w:hAnsi="Times New Roman"/>
          <w:sz w:val="30"/>
          <w:szCs w:val="3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24"/>
                <w:szCs w:val="24"/>
                <w:highlight w:val="white"/>
                <w:rtl w:val="0"/>
              </w:rPr>
              <w:t xml:space="preserve">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24"/>
                <w:szCs w:val="24"/>
                <w:highlight w:val="white"/>
                <w:rtl w:val="0"/>
              </w:rPr>
              <w:t xml:space="preserve">1. Template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 used to set the value type.</w:t>
              <w:tab/>
              <w:tab/>
              <w:t xml:space="preserve">Value </w:t>
              <w:tab/>
              <w:t xml:space="preserve">types are two types.</w:t>
              <w:tab/>
              <w:tab/>
            </w:r>
          </w:p>
          <w:p w:rsidR="00000000" w:rsidDel="00000000" w:rsidP="00000000" w:rsidRDefault="00000000" w:rsidRPr="00000000" w14:paraId="0000001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13">
            <w:pPr>
              <w:widowControl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w:t>
              <w:tab/>
              <w:tab/>
              <w:tab/>
              <w:t xml:space="preserve">Template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Enter 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of the event to bind to.</w:t>
            </w:r>
          </w:p>
          <w:p w:rsidR="00000000" w:rsidDel="00000000" w:rsidP="00000000" w:rsidRDefault="00000000" w:rsidRPr="00000000" w14:paraId="00000016">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Events are the primary method of packaging messages in the Channels system. they form the basis of all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Enter the channel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name of the channel.</w:t>
            </w:r>
          </w:p>
          <w:p w:rsidR="00000000" w:rsidDel="00000000" w:rsidP="00000000" w:rsidRDefault="00000000" w:rsidRPr="00000000" w14:paraId="00000019">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application can have one channel or many, and each client can choose which channels it subscribes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Enter the socket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unique identifier for the specific client connection to Channels.</w:t>
            </w:r>
          </w:p>
          <w:p w:rsidR="00000000" w:rsidDel="00000000" w:rsidP="00000000" w:rsidRDefault="00000000" w:rsidRPr="00000000" w14:paraId="0000001C">
            <w:pPr>
              <w:widowControl w:val="0"/>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connection has been established a universally unique socket id is returned to the Channels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Enter the notification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A message having information to provide the notification when the event trigger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Enter the output variable</w:t>
            </w:r>
          </w:p>
          <w:p w:rsidR="00000000" w:rsidDel="00000000" w:rsidP="00000000" w:rsidRDefault="00000000" w:rsidRPr="00000000" w14:paraId="00000020">
            <w:pPr>
              <w:widowControl w:val="0"/>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output variable is used to hold the response.</w:t>
            </w:r>
          </w:p>
          <w:p w:rsidR="00000000" w:rsidDel="00000000" w:rsidP="00000000" w:rsidRDefault="00000000" w:rsidRPr="00000000" w14:paraId="00000022">
            <w:pPr>
              <w:widowControl w:val="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App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key is a string which is globally unique to your application. It can be found in the API Access section of your application within the Channels user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application key, to provide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9.Cluster</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The identifier of the cluster your application was created in. When not supplied, will connect to the mt1 (us-east-1) cluster.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10.Secret</w:t>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interactions with the Channels HTTP API must contain an authentication signature that is generated with your secret key.</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10.Output variable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store the response </w:t>
            </w:r>
          </w:p>
        </w:tc>
      </w:tr>
    </w:tbl>
    <w:p w:rsidR="00000000" w:rsidDel="00000000" w:rsidP="00000000" w:rsidRDefault="00000000" w:rsidRPr="00000000" w14:paraId="0000002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Times New Roman" w:cs="Times New Roman" w:eastAsia="Times New Roman" w:hAnsi="Times New Roman"/>
          <w:b w:val="1"/>
          <w:sz w:val="34"/>
          <w:szCs w:val="34"/>
        </w:rPr>
      </w:pPr>
      <w:bookmarkStart w:colFirst="0" w:colLast="0" w:name="_xuj6k4s3nxwl" w:id="1"/>
      <w:bookmarkEnd w:id="1"/>
      <w:r w:rsidDel="00000000" w:rsidR="00000000" w:rsidRPr="00000000">
        <w:rPr>
          <w:rFonts w:ascii="Times New Roman" w:cs="Times New Roman" w:eastAsia="Times New Roman" w:hAnsi="Times New Roman"/>
          <w:b w:val="1"/>
          <w:sz w:val="34"/>
          <w:szCs w:val="34"/>
          <w:rtl w:val="0"/>
        </w:rPr>
        <w:t xml:space="preserve">Executor Description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Pusher Oauth plugin. Authenticate the user authenticate method of Pusher API Pusher class. Send the message to the channel and event with message data by calling the pushMessage method and pass channel, event_name, and message as arguments.Call trigger method to notification on specific channel and event name with notification object or message.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my2gij1x8iok" w:id="2"/>
      <w:bookmarkEnd w:id="2"/>
      <w:r w:rsidDel="00000000" w:rsidR="00000000" w:rsidRPr="00000000">
        <w:rPr>
          <w:rFonts w:ascii="Times New Roman" w:cs="Times New Roman" w:eastAsia="Times New Roman" w:hAnsi="Times New Roman"/>
          <w:b w:val="1"/>
          <w:sz w:val="34"/>
          <w:szCs w:val="34"/>
          <w:rtl w:val="0"/>
        </w:rPr>
        <w:t xml:space="preserve">Resource</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the following link for more information.</w:t>
      </w:r>
    </w:p>
    <w:p w:rsidR="00000000" w:rsidDel="00000000" w:rsidP="00000000" w:rsidRDefault="00000000" w:rsidRPr="00000000" w14:paraId="00000035">
      <w:pPr>
        <w:spacing w:line="36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"https://pusher.com/docs/authenticating_users"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https://pusher.com/docs/authenticating_users</w:t>
      </w:r>
    </w:p>
    <w:p w:rsidR="00000000" w:rsidDel="00000000" w:rsidP="00000000" w:rsidRDefault="00000000" w:rsidRPr="00000000" w14:paraId="00000036">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