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m3lpeldkyz3j" w:id="0"/>
      <w:bookmarkEnd w:id="0"/>
      <w:r w:rsidDel="00000000" w:rsidR="00000000" w:rsidRPr="00000000">
        <w:rPr>
          <w:rtl w:val="0"/>
        </w:rPr>
        <w:t xml:space="preserve">Rest Step</w:t>
      </w:r>
    </w:p>
    <w:p w:rsidR="00000000" w:rsidDel="00000000" w:rsidP="00000000" w:rsidRDefault="00000000" w:rsidRPr="00000000" w14:paraId="00000002">
      <w:pPr>
        <w:pStyle w:val="Subtitle"/>
        <w:spacing w:line="360" w:lineRule="auto"/>
        <w:rPr>
          <w:rFonts w:ascii="Times New Roman" w:cs="Times New Roman" w:eastAsia="Times New Roman" w:hAnsi="Times New Roman"/>
          <w:sz w:val="24"/>
          <w:szCs w:val="24"/>
        </w:rPr>
      </w:pPr>
      <w:bookmarkStart w:colFirst="0" w:colLast="0" w:name="_1arfng8s8mlc"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REST</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API defines a set of functions which developers can perform requests and receive responses via HTTP protocol such as GET and POST etc.</w:t>
      </w:r>
    </w:p>
    <w:p w:rsidR="00000000" w:rsidDel="00000000" w:rsidP="00000000" w:rsidRDefault="00000000" w:rsidRPr="00000000" w14:paraId="00000004">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Rest step we are providing following Authorization types</w:t>
      </w:r>
    </w:p>
    <w:p w:rsidR="00000000" w:rsidDel="00000000" w:rsidP="00000000" w:rsidRDefault="00000000" w:rsidRPr="00000000" w14:paraId="00000005">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Base OAuth </w:t>
      </w:r>
    </w:p>
    <w:p w:rsidR="00000000" w:rsidDel="00000000" w:rsidP="00000000" w:rsidRDefault="00000000" w:rsidRPr="00000000" w14:paraId="00000006">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OAuth 1.0 </w:t>
      </w:r>
    </w:p>
    <w:p w:rsidR="00000000" w:rsidDel="00000000" w:rsidP="00000000" w:rsidRDefault="00000000" w:rsidRPr="00000000" w14:paraId="00000007">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08">
      <w:pPr>
        <w:pStyle w:val="Subtitle"/>
        <w:spacing w:line="360" w:lineRule="auto"/>
        <w:rPr/>
      </w:pPr>
      <w:bookmarkStart w:colFirst="0" w:colLast="0" w:name="_3ol2bgmjvzbt" w:id="2"/>
      <w:bookmarkEnd w:id="2"/>
      <w:r w:rsidDel="00000000" w:rsidR="00000000" w:rsidRPr="00000000">
        <w:rPr>
          <w:rtl w:val="0"/>
        </w:rPr>
        <w:t xml:space="preserve">UI</w:t>
      </w:r>
    </w:p>
    <w:p w:rsidR="00000000" w:rsidDel="00000000" w:rsidP="00000000" w:rsidRDefault="00000000" w:rsidRPr="00000000" w14:paraId="00000009">
      <w:pPr>
        <w:spacing w:line="360" w:lineRule="auto"/>
        <w:rPr/>
      </w:pPr>
      <w:r w:rsidDel="00000000" w:rsidR="00000000" w:rsidRPr="00000000">
        <w:rPr/>
        <w:drawing>
          <wp:inline distB="114300" distT="114300" distL="114300" distR="114300">
            <wp:extent cx="5895975" cy="45672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95975"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drawing>
          <wp:inline distB="114300" distT="114300" distL="114300" distR="114300">
            <wp:extent cx="5943600" cy="3302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drawing>
          <wp:inline distB="114300" distT="114300" distL="114300" distR="114300">
            <wp:extent cx="5943600" cy="31877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drawing>
          <wp:inline distB="114300" distT="114300" distL="114300" distR="114300">
            <wp:extent cx="5819775" cy="36052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19775"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drawing>
          <wp:inline distB="114300" distT="114300" distL="114300" distR="114300">
            <wp:extent cx="5924550" cy="387191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2455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drawing>
          <wp:inline distB="114300" distT="114300" distL="114300" distR="114300">
            <wp:extent cx="5943600" cy="3746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line="360" w:lineRule="auto"/>
        <w:rPr>
          <w:rFonts w:ascii="Times New Roman" w:cs="Times New Roman" w:eastAsia="Times New Roman" w:hAnsi="Times New Roman"/>
          <w:sz w:val="24"/>
          <w:szCs w:val="24"/>
        </w:rPr>
      </w:pPr>
      <w:bookmarkStart w:colFirst="0" w:colLast="0" w:name="_kcprce9l564p" w:id="3"/>
      <w:bookmarkEnd w:id="3"/>
      <w:r w:rsidDel="00000000" w:rsidR="00000000" w:rsidRPr="00000000">
        <w:rPr>
          <w:rtl w:val="0"/>
        </w:rPr>
        <w:t xml:space="preserve">Attributes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is an essential part of a REST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12">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p>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Raw tab to manually enter a request body.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Authorization involves checking resources that the user is authorized to access or modify via defined roles or claims. For example, the authenticated user is authorized for reading access to a database but not allowed to modify it. The same can be applied to your API. Maybe most users can access certain resources or endpoints, but special admin users have privileged access.</w:t>
            </w:r>
          </w:p>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course, these definitions are usually implemented together and interdependent, so when we refer to auth, we are referring to the overall system.</w:t>
            </w:r>
          </w:p>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Rest Step we have 2 types of authentications like Basic OAuth and OAuth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6.Headers</w:t>
            </w:r>
          </w:p>
          <w:p w:rsidR="00000000" w:rsidDel="00000000" w:rsidP="00000000" w:rsidRDefault="00000000" w:rsidRPr="00000000" w14:paraId="0000002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included in the request header, usually related to authorization.</w:t>
            </w:r>
          </w:p>
          <w:p w:rsidR="00000000" w:rsidDel="00000000" w:rsidP="00000000" w:rsidRDefault="00000000" w:rsidRPr="00000000" w14:paraId="0000002D">
            <w:pPr>
              <w:spacing w:line="360" w:lineRule="auto"/>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sz w:val="24"/>
                <w:szCs w:val="24"/>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p>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Result</w:t>
            </w:r>
          </w:p>
          <w:p w:rsidR="00000000" w:rsidDel="00000000" w:rsidP="00000000" w:rsidRDefault="00000000" w:rsidRPr="00000000" w14:paraId="0000003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b w:val="1"/>
          <w:sz w:val="24"/>
          <w:szCs w:val="24"/>
        </w:rPr>
      </w:pPr>
      <w:bookmarkStart w:colFirst="0" w:colLast="0" w:name="_3bzy9b6a76v3"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Build the URL by using HttpUrl.Builder.Set the query parameters to URL if the request method type is GET. </w:t>
      </w:r>
      <w:r w:rsidDel="00000000" w:rsidR="00000000" w:rsidRPr="00000000">
        <w:rPr>
          <w:rFonts w:ascii="Times New Roman" w:cs="Times New Roman" w:eastAsia="Times New Roman" w:hAnsi="Times New Roman"/>
          <w:sz w:val="24"/>
          <w:szCs w:val="24"/>
          <w:highlight w:val="white"/>
          <w:rtl w:val="0"/>
        </w:rPr>
        <w:t xml:space="preserve">Add Headers given in the step. Add the form body. Set method type for a request. Execute the OkHttpClient new call. Get a response into the response object.</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m1d4g1nzek9z" w:id="5"/>
      <w:bookmarkEnd w:id="5"/>
      <w:r w:rsidDel="00000000" w:rsidR="00000000" w:rsidRPr="00000000">
        <w:rPr>
          <w:rtl w:val="0"/>
        </w:rPr>
        <w:t xml:space="preserve">Resource </w:t>
      </w:r>
    </w:p>
    <w:p w:rsidR="00000000" w:rsidDel="00000000" w:rsidP="00000000" w:rsidRDefault="00000000" w:rsidRPr="00000000" w14:paraId="00000039">
      <w:pPr>
        <w:rPr/>
      </w:pPr>
      <w:r w:rsidDel="00000000" w:rsidR="00000000" w:rsidRPr="00000000">
        <w:rPr>
          <w:rtl w:val="0"/>
        </w:rPr>
        <w:t xml:space="preserve">Please refer the below link to get more details.</w:t>
      </w:r>
    </w:p>
    <w:p w:rsidR="00000000" w:rsidDel="00000000" w:rsidP="00000000" w:rsidRDefault="00000000" w:rsidRPr="00000000" w14:paraId="0000003A">
      <w:pPr>
        <w:rPr>
          <w:rFonts w:ascii="Times New Roman" w:cs="Times New Roman" w:eastAsia="Times New Roman" w:hAnsi="Times New Roman"/>
          <w:sz w:val="24"/>
          <w:szCs w:val="24"/>
          <w:highlight w:val="white"/>
        </w:rPr>
      </w:pPr>
      <w:hyperlink r:id="rId13">
        <w:r w:rsidDel="00000000" w:rsidR="00000000" w:rsidRPr="00000000">
          <w:rPr>
            <w:color w:val="1155cc"/>
            <w:u w:val="single"/>
            <w:rtl w:val="0"/>
          </w:rPr>
          <w:t xml:space="preserve">https://dzone.com/articles/busy-developers-guide-restful</w:t>
        </w:r>
      </w:hyperlink>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dzone.com/articles/busy-developers-guide-restful" TargetMode="External"/><Relationship Id="rId12" Type="http://schemas.openxmlformats.org/officeDocument/2006/relationships/hyperlink" Target="https://en.wikipedia.org/wiki/Uniform_resource_loc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