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wk21hxf232yp" w:id="0"/>
      <w:bookmarkEnd w:id="0"/>
      <w:r w:rsidDel="00000000" w:rsidR="00000000" w:rsidRPr="00000000">
        <w:rPr>
          <w:rtl w:val="0"/>
        </w:rPr>
        <w:t xml:space="preserve">SQLOneStep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used to execute the select SQL in selected DB while fetching only one record.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"name": "sql-one",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"expression": "sqlone/{id}",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"value": "SELECT * FROM testDB.employee_table where id = ${request.path.id};",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"output_variable": "sql-one-output",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"plugin_name": "sql-one-plugin",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"type": "sql-one",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"success": "sql-one-success",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"variable_name": "sql-one-output",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"id": "sql-one-success",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"name": "sql-one-plugin",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select the data based on the query or value which given by user then we get list of results.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first resultset into output variable by using getFirst method then returns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