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7324D"/>
          <w:sz w:val="60"/>
        </w:rPr>
        <w:t>PHARMACEUTICAL</w:t>
        <w:br/>
        <w:t>SALES DATA ANALYTICS</w:t>
      </w:r>
    </w:p>
    <w:p>
      <w:r>
        <w:rPr>
          <w:b/>
          <w:color w:val="008F95"/>
          <w:sz w:val="30"/>
        </w:rPr>
        <w:t>End-to-End SQL, Excel and Business Intelligence Project</w:t>
      </w:r>
    </w:p>
    <w:p>
      <w:pPr>
        <w:spacing w:before="400"/>
      </w:pPr>
      <w:r>
        <w:rPr>
          <w:b/>
        </w:rPr>
        <w:t>iNeuBytes Virtual Internship Program (VIIP)</w:t>
        <w:br/>
      </w:r>
      <w:r>
        <w:t>Course ID: DAINB10926</w:t>
        <w:br/>
      </w:r>
      <w:r>
        <w:t>Project type: Task 1 + Task 2 + Task 3 + Major Project</w:t>
        <w:br/>
      </w:r>
      <w:r>
        <w:t>Prepared: 22 October 2026</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024"/>
            <w:vAlign w:val="center"/>
            <w:shd w:fill="17324D"/>
          </w:tcPr>
          <w:p>
            <w:r/>
            <w:r>
              <w:rPr>
                <w:rFonts w:ascii="Aptos" w:hAnsi="Aptos"/>
                <w:b/>
                <w:color w:val="FFFFFF"/>
                <w:sz w:val="18"/>
              </w:rPr>
              <w:t>Student field</w:t>
            </w:r>
          </w:p>
        </w:tc>
        <w:tc>
          <w:tcPr>
            <w:tcW w:type="dxa" w:w="7056"/>
            <w:vAlign w:val="center"/>
            <w:shd w:fill="17324D"/>
          </w:tcPr>
          <w:p>
            <w:r/>
            <w:r>
              <w:rPr>
                <w:rFonts w:ascii="Aptos" w:hAnsi="Aptos"/>
                <w:b/>
                <w:color w:val="FFFFFF"/>
                <w:sz w:val="18"/>
              </w:rPr>
              <w:t>Value to enter</w:t>
            </w:r>
          </w:p>
        </w:tc>
      </w:tr>
      <w:tr>
        <w:tc>
          <w:tcPr>
            <w:tcW w:type="dxa" w:w="3024"/>
            <w:vAlign w:val="center"/>
          </w:tcPr>
          <w:p>
            <w:r/>
            <w:r>
              <w:rPr>
                <w:rFonts w:ascii="Aptos" w:hAnsi="Aptos"/>
                <w:b w:val="0"/>
                <w:color w:val="17324D"/>
                <w:sz w:val="18"/>
              </w:rPr>
              <w:t>Student name</w:t>
            </w:r>
          </w:p>
        </w:tc>
        <w:tc>
          <w:tcPr>
            <w:tcW w:type="dxa" w:w="7056"/>
            <w:vAlign w:val="center"/>
          </w:tcPr>
          <w:p>
            <w:r/>
            <w:r>
              <w:rPr>
                <w:rFonts w:ascii="Aptos" w:hAnsi="Aptos"/>
                <w:b w:val="0"/>
                <w:color w:val="17324D"/>
                <w:sz w:val="18"/>
              </w:rPr>
              <w:t>Aparna Reddy</w:t>
            </w:r>
          </w:p>
        </w:tc>
      </w:tr>
      <w:tr>
        <w:tc>
          <w:tcPr>
            <w:tcW w:type="dxa" w:w="3024"/>
            <w:vAlign w:val="center"/>
            <w:shd w:fill="F3F7F9"/>
          </w:tcPr>
          <w:p>
            <w:r/>
            <w:r>
              <w:rPr>
                <w:rFonts w:ascii="Aptos" w:hAnsi="Aptos"/>
                <w:b w:val="0"/>
                <w:color w:val="17324D"/>
                <w:sz w:val="18"/>
              </w:rPr>
              <w:t>Registration number</w:t>
            </w:r>
          </w:p>
        </w:tc>
        <w:tc>
          <w:tcPr>
            <w:tcW w:type="dxa" w:w="7056"/>
            <w:vAlign w:val="center"/>
            <w:shd w:fill="F3F7F9"/>
          </w:tcPr>
          <w:p>
            <w:r/>
            <w:r>
              <w:rPr>
                <w:rFonts w:ascii="Aptos" w:hAnsi="Aptos"/>
                <w:b w:val="0"/>
                <w:color w:val="17324D"/>
                <w:sz w:val="18"/>
              </w:rPr>
              <w:t>INBT026297</w:t>
            </w:r>
          </w:p>
        </w:tc>
      </w:tr>
      <w:tr>
        <w:tc>
          <w:tcPr>
            <w:tcW w:type="dxa" w:w="3024"/>
            <w:vAlign w:val="center"/>
          </w:tcPr>
          <w:p>
            <w:r/>
            <w:r>
              <w:rPr>
                <w:rFonts w:ascii="Aptos" w:hAnsi="Aptos"/>
                <w:b w:val="0"/>
                <w:color w:val="17324D"/>
                <w:sz w:val="18"/>
              </w:rPr>
              <w:t>Required repository name</w:t>
            </w:r>
          </w:p>
        </w:tc>
        <w:tc>
          <w:tcPr>
            <w:tcW w:type="dxa" w:w="7056"/>
            <w:vAlign w:val="center"/>
          </w:tcPr>
          <w:p>
            <w:r/>
            <w:r>
              <w:rPr>
                <w:rFonts w:ascii="Aptos" w:hAnsi="Aptos"/>
                <w:b w:val="0"/>
                <w:color w:val="17324D"/>
                <w:sz w:val="18"/>
              </w:rPr>
              <w:t>internsAparnareddy_INBT026297_iNeuBytes</w:t>
            </w:r>
          </w:p>
        </w:tc>
      </w:tr>
      <w:tr>
        <w:tc>
          <w:tcPr>
            <w:tcW w:type="dxa" w:w="3024"/>
            <w:vAlign w:val="center"/>
            <w:shd w:fill="F3F7F9"/>
          </w:tcPr>
          <w:p>
            <w:r/>
            <w:r>
              <w:rPr>
                <w:rFonts w:ascii="Aptos" w:hAnsi="Aptos"/>
                <w:b w:val="0"/>
                <w:color w:val="17324D"/>
                <w:sz w:val="18"/>
              </w:rPr>
              <w:t>GitHub URL</w:t>
            </w:r>
          </w:p>
        </w:tc>
        <w:tc>
          <w:tcPr>
            <w:tcW w:type="dxa" w:w="7056"/>
            <w:vAlign w:val="center"/>
            <w:shd w:fill="F3F7F9"/>
          </w:tcPr>
          <w:p>
            <w:r/>
            <w:r>
              <w:rPr>
                <w:rFonts w:ascii="Aptos" w:hAnsi="Aptos"/>
                <w:b w:val="0"/>
                <w:color w:val="17324D"/>
                <w:sz w:val="18"/>
              </w:rPr>
              <w:t>https://github.com/appureddy1102-cloud/internsAparnareddy_INBT026297_iNeuBytes</w:t>
            </w:r>
          </w:p>
        </w:tc>
      </w:tr>
      <w:tr>
        <w:tc>
          <w:tcPr>
            <w:tcW w:type="dxa" w:w="3024"/>
            <w:vAlign w:val="center"/>
          </w:tcPr>
          <w:p>
            <w:r/>
            <w:r>
              <w:rPr>
                <w:rFonts w:ascii="Aptos" w:hAnsi="Aptos"/>
                <w:b w:val="0"/>
                <w:color w:val="17324D"/>
                <w:sz w:val="18"/>
              </w:rPr>
              <w:t>Google Docs URL</w:t>
            </w:r>
          </w:p>
        </w:tc>
        <w:tc>
          <w:tcPr>
            <w:tcW w:type="dxa" w:w="7056"/>
            <w:vAlign w:val="center"/>
          </w:tcPr>
          <w:p>
            <w:r/>
            <w:r>
              <w:rPr>
                <w:rFonts w:ascii="Aptos" w:hAnsi="Aptos"/>
                <w:b w:val="0"/>
                <w:color w:val="17324D"/>
                <w:sz w:val="18"/>
              </w:rPr>
              <w:t>https://docs.google.com/document/d/1amt9L8CzQ2ba_9tr_BHdGPSeUS9CUs2lT55A4ixpaKQ/edit?usp=sharing</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vAlign w:val="center"/>
          </w:tcPr>
          <w:p>
            <w:pPr>
              <w:spacing w:after="80" w:before="80"/>
            </w:pPr>
            <w:r/>
            <w:r>
              <w:rPr>
                <w:rFonts w:ascii="Aptos" w:hAnsi="Aptos"/>
                <w:b w:val="0"/>
                <w:color w:val="7F4F00"/>
                <w:sz w:val="18"/>
              </w:rPr>
              <w:t>COMPLETION NOTE: This report contains calculated results from the supplied CSVs. Before submission, add your real MySQL, Excel, Power BI and Tableau evidence, replace all placeholders, and remove/update any pending-status statements that no longer apply. No .pbix, .twbx, GitHub URL, Google Docs URL or portal submission is claimed as completed.</w:t>
            </w:r>
          </w:p>
        </w:tc>
      </w:tr>
    </w:tbl>
    <w:p>
      <w:pPr>
        <w:spacing w:after="0"/>
      </w:pPr>
    </w:p>
    <w:p>
      <w:pPr>
        <w:spacing w:before="300"/>
      </w:pPr>
      <w:r>
        <w:rPr>
          <w:b/>
          <w:color w:val="008F95"/>
        </w:rPr>
        <w:t>Dataset source</w:t>
        <w:br/>
      </w:r>
      <w:r>
        <w:t>Pharma sales data — Milan Zdravković, Kaggle</w:t>
        <w:br/>
        <w:t>https://www.kaggle.com/datasets/milanzdravkovic/pharma-sales-data</w:t>
      </w:r>
    </w:p>
    <w:p>
      <w:r>
        <w:br w:type="page"/>
      </w:r>
    </w:p>
    <w:p>
      <w:pPr>
        <w:pStyle w:val="Heading1"/>
      </w:pPr>
      <w:r>
        <w:t>Contents</w:t>
      </w:r>
    </w:p>
    <w:p>
      <w:r>
        <w:t>1. Executive Summary</w:t>
      </w:r>
    </w:p>
    <w:p>
      <w:r>
        <w:t>2. Introduction and Business Problem</w:t>
      </w:r>
    </w:p>
    <w:p>
      <w:r>
        <w:t>3. Dataset and Data Dictionary</w:t>
      </w:r>
    </w:p>
    <w:p>
      <w:r>
        <w:t>4. Methodology</w:t>
      </w:r>
    </w:p>
    <w:p>
      <w:r>
        <w:t>5. Data Quality and Cleaning Results</w:t>
      </w:r>
    </w:p>
    <w:p>
      <w:r>
        <w:t>6. SQL Analytics</w:t>
      </w:r>
    </w:p>
    <w:p>
      <w:r>
        <w:t>7. Excel Analysis and Dashboard</w:t>
      </w:r>
    </w:p>
    <w:p>
      <w:r>
        <w:t>8. Power BI and Tableau Design</w:t>
      </w:r>
    </w:p>
    <w:p>
      <w:r>
        <w:t>9. Exploratory Data Analysis and Findings</w:t>
      </w:r>
    </w:p>
    <w:p>
      <w:r>
        <w:t>10. Inventory-Planning Recommendations</w:t>
      </w:r>
    </w:p>
    <w:p>
      <w:r>
        <w:t>11. Limitations and Ethical Interpretation</w:t>
      </w:r>
    </w:p>
    <w:p>
      <w:r>
        <w:t>12. Conclusion</w:t>
      </w:r>
    </w:p>
    <w:p>
      <w:r>
        <w:t>13. Deliverables and Evidence Status</w:t>
      </w:r>
    </w:p>
    <w:p>
      <w:r>
        <w:t>14. References and Appendices</w:t>
      </w:r>
    </w:p>
    <w:p>
      <w:pPr>
        <w:pStyle w:val="Heading1"/>
      </w:pPr>
      <w:r>
        <w:t>1. Executive Summary</w:t>
      </w:r>
    </w:p>
    <w:p>
      <w:r>
        <w:t>This project analyses historical pharmaceutical sales quantity for eight Anatomical Therapeutic Chemical (ATC) categories. The business aim is to understand demand by category and time, then provide cautious evidence for inventory-planning discussions. The analysis uses the supplied daily CSV as its canonical source and uses hourly data only for the separate hour-of-day view.</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4608"/>
            <w:vAlign w:val="center"/>
            <w:shd w:fill="17324D"/>
          </w:tcPr>
          <w:p>
            <w:r/>
            <w:r>
              <w:rPr>
                <w:rFonts w:ascii="Aptos" w:hAnsi="Aptos"/>
                <w:b/>
                <w:color w:val="FFFFFF"/>
                <w:sz w:val="18"/>
              </w:rPr>
              <w:t>Key performance indicator</w:t>
            </w:r>
          </w:p>
        </w:tc>
        <w:tc>
          <w:tcPr>
            <w:tcW w:type="dxa" w:w="5328"/>
            <w:vAlign w:val="center"/>
            <w:shd w:fill="17324D"/>
          </w:tcPr>
          <w:p>
            <w:r/>
            <w:r>
              <w:rPr>
                <w:rFonts w:ascii="Aptos" w:hAnsi="Aptos"/>
                <w:b/>
                <w:color w:val="FFFFFF"/>
                <w:sz w:val="18"/>
              </w:rPr>
              <w:t>Calculated result</w:t>
            </w:r>
          </w:p>
        </w:tc>
      </w:tr>
      <w:tr>
        <w:tc>
          <w:tcPr>
            <w:tcW w:type="dxa" w:w="4608"/>
            <w:vAlign w:val="center"/>
          </w:tcPr>
          <w:p>
            <w:r/>
            <w:r>
              <w:rPr>
                <w:rFonts w:ascii="Aptos" w:hAnsi="Aptos"/>
                <w:b w:val="0"/>
                <w:color w:val="17324D"/>
                <w:sz w:val="18"/>
              </w:rPr>
              <w:t>Observed daily records</w:t>
            </w:r>
          </w:p>
        </w:tc>
        <w:tc>
          <w:tcPr>
            <w:tcW w:type="dxa" w:w="5328"/>
            <w:vAlign w:val="center"/>
          </w:tcPr>
          <w:p>
            <w:r/>
            <w:r>
              <w:rPr>
                <w:rFonts w:ascii="Aptos" w:hAnsi="Aptos"/>
                <w:b w:val="0"/>
                <w:color w:val="17324D"/>
                <w:sz w:val="18"/>
              </w:rPr>
              <w:t>2,106</w:t>
            </w:r>
          </w:p>
        </w:tc>
      </w:tr>
      <w:tr>
        <w:tc>
          <w:tcPr>
            <w:tcW w:type="dxa" w:w="4608"/>
            <w:vAlign w:val="center"/>
            <w:shd w:fill="F3F7F9"/>
          </w:tcPr>
          <w:p>
            <w:r/>
            <w:r>
              <w:rPr>
                <w:rFonts w:ascii="Aptos" w:hAnsi="Aptos"/>
                <w:b w:val="0"/>
                <w:color w:val="17324D"/>
                <w:sz w:val="18"/>
              </w:rPr>
              <w:t>Observed period</w:t>
            </w:r>
          </w:p>
        </w:tc>
        <w:tc>
          <w:tcPr>
            <w:tcW w:type="dxa" w:w="5328"/>
            <w:vAlign w:val="center"/>
            <w:shd w:fill="F3F7F9"/>
          </w:tcPr>
          <w:p>
            <w:r/>
            <w:r>
              <w:rPr>
                <w:rFonts w:ascii="Aptos" w:hAnsi="Aptos"/>
                <w:b w:val="0"/>
                <w:color w:val="17324D"/>
                <w:sz w:val="18"/>
              </w:rPr>
              <w:t>2 January 2014–8 October 2019</w:t>
            </w:r>
          </w:p>
        </w:tc>
      </w:tr>
      <w:tr>
        <w:tc>
          <w:tcPr>
            <w:tcW w:type="dxa" w:w="4608"/>
            <w:vAlign w:val="center"/>
          </w:tcPr>
          <w:p>
            <w:r/>
            <w:r>
              <w:rPr>
                <w:rFonts w:ascii="Aptos" w:hAnsi="Aptos"/>
                <w:b w:val="0"/>
                <w:color w:val="17324D"/>
                <w:sz w:val="18"/>
              </w:rPr>
              <w:t>Total recorded quantity</w:t>
            </w:r>
          </w:p>
        </w:tc>
        <w:tc>
          <w:tcPr>
            <w:tcW w:type="dxa" w:w="5328"/>
            <w:vAlign w:val="center"/>
          </w:tcPr>
          <w:p>
            <w:r/>
            <w:r>
              <w:rPr>
                <w:rFonts w:ascii="Aptos" w:hAnsi="Aptos"/>
                <w:b w:val="0"/>
                <w:color w:val="17324D"/>
                <w:sz w:val="18"/>
              </w:rPr>
              <w:t>127,595.50</w:t>
            </w:r>
          </w:p>
        </w:tc>
      </w:tr>
      <w:tr>
        <w:tc>
          <w:tcPr>
            <w:tcW w:type="dxa" w:w="4608"/>
            <w:vAlign w:val="center"/>
            <w:shd w:fill="F3F7F9"/>
          </w:tcPr>
          <w:p>
            <w:r/>
            <w:r>
              <w:rPr>
                <w:rFonts w:ascii="Aptos" w:hAnsi="Aptos"/>
                <w:b w:val="0"/>
                <w:color w:val="17324D"/>
                <w:sz w:val="18"/>
              </w:rPr>
              <w:t>Average total quantity per observed day</w:t>
            </w:r>
          </w:p>
        </w:tc>
        <w:tc>
          <w:tcPr>
            <w:tcW w:type="dxa" w:w="5328"/>
            <w:vAlign w:val="center"/>
            <w:shd w:fill="F3F7F9"/>
          </w:tcPr>
          <w:p>
            <w:r/>
            <w:r>
              <w:rPr>
                <w:rFonts w:ascii="Aptos" w:hAnsi="Aptos"/>
                <w:b w:val="0"/>
                <w:color w:val="17324D"/>
                <w:sz w:val="18"/>
              </w:rPr>
              <w:t>60.59</w:t>
            </w:r>
          </w:p>
        </w:tc>
      </w:tr>
      <w:tr>
        <w:tc>
          <w:tcPr>
            <w:tcW w:type="dxa" w:w="4608"/>
            <w:vAlign w:val="center"/>
          </w:tcPr>
          <w:p>
            <w:r/>
            <w:r>
              <w:rPr>
                <w:rFonts w:ascii="Aptos" w:hAnsi="Aptos"/>
                <w:b w:val="0"/>
                <w:color w:val="17324D"/>
                <w:sz w:val="18"/>
              </w:rPr>
              <w:t>Peak daily quantity</w:t>
            </w:r>
          </w:p>
        </w:tc>
        <w:tc>
          <w:tcPr>
            <w:tcW w:type="dxa" w:w="5328"/>
            <w:vAlign w:val="center"/>
          </w:tcPr>
          <w:p>
            <w:r/>
            <w:r>
              <w:rPr>
                <w:rFonts w:ascii="Aptos" w:hAnsi="Aptos"/>
                <w:b w:val="0"/>
                <w:color w:val="17324D"/>
                <w:sz w:val="18"/>
              </w:rPr>
              <w:t>198.95 on 30 December 2016</w:t>
            </w:r>
          </w:p>
        </w:tc>
      </w:tr>
      <w:tr>
        <w:tc>
          <w:tcPr>
            <w:tcW w:type="dxa" w:w="4608"/>
            <w:vAlign w:val="center"/>
            <w:shd w:fill="F3F7F9"/>
          </w:tcPr>
          <w:p>
            <w:r/>
            <w:r>
              <w:rPr>
                <w:rFonts w:ascii="Aptos" w:hAnsi="Aptos"/>
                <w:b w:val="0"/>
                <w:color w:val="17324D"/>
                <w:sz w:val="18"/>
              </w:rPr>
              <w:t>Leading ATC category</w:t>
            </w:r>
          </w:p>
        </w:tc>
        <w:tc>
          <w:tcPr>
            <w:tcW w:type="dxa" w:w="5328"/>
            <w:vAlign w:val="center"/>
            <w:shd w:fill="F3F7F9"/>
          </w:tcPr>
          <w:p>
            <w:r/>
            <w:r>
              <w:rPr>
                <w:rFonts w:ascii="Aptos" w:hAnsi="Aptos"/>
                <w:b w:val="0"/>
                <w:color w:val="17324D"/>
                <w:sz w:val="18"/>
              </w:rPr>
              <w:t>N02BE — 63,005.40 (49.38%)</w:t>
            </w:r>
          </w:p>
        </w:tc>
      </w:tr>
      <w:tr>
        <w:tc>
          <w:tcPr>
            <w:tcW w:type="dxa" w:w="4608"/>
            <w:vAlign w:val="center"/>
          </w:tcPr>
          <w:p>
            <w:r/>
            <w:r>
              <w:rPr>
                <w:rFonts w:ascii="Aptos" w:hAnsi="Aptos"/>
                <w:b w:val="0"/>
                <w:color w:val="17324D"/>
                <w:sz w:val="18"/>
              </w:rPr>
              <w:t>Highest complete calendar month</w:t>
            </w:r>
          </w:p>
        </w:tc>
        <w:tc>
          <w:tcPr>
            <w:tcW w:type="dxa" w:w="5328"/>
            <w:vAlign w:val="center"/>
          </w:tcPr>
          <w:p>
            <w:r/>
            <w:r>
              <w:rPr>
                <w:rFonts w:ascii="Aptos" w:hAnsi="Aptos"/>
                <w:b w:val="0"/>
                <w:color w:val="17324D"/>
                <w:sz w:val="18"/>
              </w:rPr>
              <w:t>January 2019 — 2,875.16</w:t>
            </w:r>
          </w:p>
        </w:tc>
      </w:tr>
      <w:tr>
        <w:tc>
          <w:tcPr>
            <w:tcW w:type="dxa" w:w="4608"/>
            <w:vAlign w:val="center"/>
            <w:shd w:fill="F3F7F9"/>
          </w:tcPr>
          <w:p>
            <w:r/>
            <w:r>
              <w:rPr>
                <w:rFonts w:ascii="Aptos" w:hAnsi="Aptos"/>
                <w:b w:val="0"/>
                <w:color w:val="17324D"/>
                <w:sz w:val="18"/>
              </w:rPr>
              <w:t>Complete calendar months</w:t>
            </w:r>
          </w:p>
        </w:tc>
        <w:tc>
          <w:tcPr>
            <w:tcW w:type="dxa" w:w="5328"/>
            <w:vAlign w:val="center"/>
            <w:shd w:fill="F3F7F9"/>
          </w:tcPr>
          <w:p>
            <w:r/>
            <w:r>
              <w:rPr>
                <w:rFonts w:ascii="Aptos" w:hAnsi="Aptos"/>
                <w:b w:val="0"/>
                <w:color w:val="17324D"/>
                <w:sz w:val="18"/>
              </w:rPr>
              <w:t>68</w:t>
            </w:r>
          </w:p>
        </w:tc>
      </w:tr>
    </w:tbl>
    <w:p>
      <w:pPr>
        <w:spacing w:after="0"/>
      </w:pPr>
    </w:p>
    <w:p>
      <w:r>
        <w:t>The most important category finding is that N02BE accounts for 49.38% of total recorded quantity. The three largest categories—N02BE, N05B and R03—together account for approximately 73.09%. January 2019 is the highest complete month, while July 2017 is the lowest complete month. Saturday has the highest average total quantity per observed weekday (65.67), but this descriptive pattern does not prove a cause.</w:t>
      </w:r>
    </w:p>
    <w:tbl>
      <w:tblPr>
        <w:tblW w:type="auto" w:w="0"/>
        <w:jc w:val="center"/>
        <w:tblLook w:firstColumn="1" w:firstRow="1" w:lastColumn="0" w:lastRow="0" w:noHBand="0" w:noVBand="1" w:val="04A0"/>
      </w:tblPr>
      <w:tblGrid>
        <w:gridCol w:w="10166"/>
      </w:tblGrid>
      <w:tr>
        <w:tc>
          <w:tcPr>
            <w:tcW w:type="dxa" w:w="10166"/>
            <w:shd w:fill="EAF1F5"/>
            <w:vAlign w:val="center"/>
          </w:tcPr>
          <w:p>
            <w:pPr>
              <w:spacing w:after="80" w:before="80"/>
            </w:pPr>
            <w:r/>
            <w:r>
              <w:rPr>
                <w:rFonts w:ascii="Aptos" w:hAnsi="Aptos"/>
                <w:b w:val="0"/>
                <w:color w:val="17324D"/>
                <w:sz w:val="18"/>
              </w:rPr>
              <w:t>Metric scope: “sales” means source-recorded quantity. The dataset has no price or revenue field, so none of these values is sales revenue.</w:t>
            </w:r>
          </w:p>
        </w:tc>
      </w:tr>
    </w:tbl>
    <w:p>
      <w:pPr>
        <w:spacing w:after="0"/>
      </w:pPr>
    </w:p>
    <w:p>
      <w:pPr>
        <w:pStyle w:val="Heading1"/>
      </w:pPr>
      <w:r>
        <w:t>2. Introduction and Business Problem</w:t>
      </w:r>
    </w:p>
    <w:p>
      <w:pPr>
        <w:pStyle w:val="Heading2"/>
      </w:pPr>
      <w:r>
        <w:t>2.1 Business problem</w:t>
      </w:r>
    </w:p>
    <w:p>
      <w:r>
        <w:t>A pharmacy must keep enough stock to meet demand while avoiding excess inventory, expiry and unnecessary working capital. Historical sales patterns can support that discussion, but only when the time coverage, category definitions and data limitations are understood.</w:t>
      </w:r>
    </w:p>
    <w:p>
      <w:r>
        <w:t>The project problem is therefore: How can historical pharmaceutical sales quantity be cleaned, analysed and visualised to identify category and time-based demand patterns for inventory-planning review?</w:t>
      </w:r>
    </w:p>
    <w:p>
      <w:pPr>
        <w:pStyle w:val="Heading2"/>
      </w:pPr>
      <w:r>
        <w:t>2.2 Objectives</w:t>
      </w:r>
    </w:p>
    <w:p>
      <w:pPr>
        <w:pStyle w:val="ListBullet"/>
      </w:pPr>
      <w:r>
        <w:t>Inspect and clean hourly, daily, weekly and monthly source files without double-counting them.</w:t>
      </w:r>
    </w:p>
    <w:p>
      <w:pPr>
        <w:pStyle w:val="ListBullet"/>
      </w:pPr>
      <w:r>
        <w:t>Use MySQL to calculate total quantity, category contribution, monthly trends and supporting metrics.</w:t>
      </w:r>
    </w:p>
    <w:p>
      <w:pPr>
        <w:pStyle w:val="ListBullet"/>
      </w:pPr>
      <w:r>
        <w:t>Use Excel formulas, summaries, charts and an interactive dashboard for analysis practice.</w:t>
      </w:r>
    </w:p>
    <w:p>
      <w:pPr>
        <w:pStyle w:val="ListBullet"/>
      </w:pPr>
      <w:r>
        <w:t>Define equivalent Power BI and Tableau dashboards using a consistent long-format data model.</w:t>
      </w:r>
    </w:p>
    <w:p>
      <w:pPr>
        <w:pStyle w:val="ListBullet"/>
      </w:pPr>
      <w:r>
        <w:t>Explain findings, limitations and practical recommendations in language suitable for pharmacy inventory review.</w:t>
      </w:r>
    </w:p>
    <w:p>
      <w:pPr>
        <w:pStyle w:val="Heading2"/>
      </w:pPr>
      <w:r>
        <w:t>2.3 Business questions</w:t>
      </w:r>
    </w:p>
    <w:p>
      <w:pPr>
        <w:pStyle w:val="ListBullet"/>
      </w:pPr>
      <w:r>
        <w:t>What is the total and average daily recorded quantity?</w:t>
      </w:r>
    </w:p>
    <w:p>
      <w:pPr>
        <w:pStyle w:val="ListBullet"/>
      </w:pPr>
      <w:r>
        <w:t>Which ATC categories contribute most and least?</w:t>
      </w:r>
    </w:p>
    <w:p>
      <w:pPr>
        <w:pStyle w:val="ListBullet"/>
      </w:pPr>
      <w:r>
        <w:t>Which complete months are highest or lowest, and how do full years differ?</w:t>
      </w:r>
    </w:p>
    <w:p>
      <w:pPr>
        <w:pStyle w:val="ListBullet"/>
      </w:pPr>
      <w:r>
        <w:t>Are there descriptive weekday or hour-of-day patterns?</w:t>
      </w:r>
    </w:p>
    <w:p>
      <w:pPr>
        <w:pStyle w:val="ListBullet"/>
      </w:pPr>
      <w:r>
        <w:t>Which categories show intermittent or variable demand?</w:t>
      </w:r>
    </w:p>
    <w:p>
      <w:pPr>
        <w:pStyle w:val="ListBullet"/>
      </w:pPr>
      <w:r>
        <w:t>What extra information is required before making a real purchasing decision?</w:t>
      </w:r>
    </w:p>
    <w:p>
      <w:pPr>
        <w:pStyle w:val="Heading1"/>
      </w:pPr>
      <w:r>
        <w:t>3. Dataset and Data Dictionary</w:t>
      </w:r>
    </w:p>
    <w:p>
      <w:pPr>
        <w:pStyle w:val="Heading2"/>
      </w:pPr>
      <w:r>
        <w:t>3.1 Source and scope</w:t>
      </w:r>
    </w:p>
    <w:p>
      <w:r>
        <w:t>The dataset is “Pharma sales data” by Milan Zdravković on Kaggle. The source describes historical data from one pharmacy, derived from point-of-sale transactions and resampled to hourly, daily, weekly and monthly periods. It also states that preprocessing included outlier detection/treatment and missing-data imputation. The dataset page lists a CC BY-NC 4.0 licence; attribution and sharing conditions must be checked before public upload.</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304"/>
            <w:vAlign w:val="center"/>
            <w:shd w:fill="17324D"/>
          </w:tcPr>
          <w:p>
            <w:r/>
            <w:r>
              <w:rPr>
                <w:rFonts w:ascii="Aptos" w:hAnsi="Aptos"/>
                <w:b/>
                <w:color w:val="FFFFFF"/>
                <w:sz w:val="17"/>
              </w:rPr>
              <w:t>Supplied file</w:t>
            </w:r>
          </w:p>
        </w:tc>
        <w:tc>
          <w:tcPr>
            <w:tcW w:type="dxa" w:w="1008"/>
            <w:vAlign w:val="center"/>
            <w:shd w:fill="17324D"/>
          </w:tcPr>
          <w:p>
            <w:r/>
            <w:r>
              <w:rPr>
                <w:rFonts w:ascii="Aptos" w:hAnsi="Aptos"/>
                <w:b/>
                <w:color w:val="FFFFFF"/>
                <w:sz w:val="17"/>
              </w:rPr>
              <w:t>Rows</w:t>
            </w:r>
          </w:p>
        </w:tc>
        <w:tc>
          <w:tcPr>
            <w:tcW w:type="dxa" w:w="2016"/>
            <w:vAlign w:val="center"/>
            <w:shd w:fill="17324D"/>
          </w:tcPr>
          <w:p>
            <w:r/>
            <w:r>
              <w:rPr>
                <w:rFonts w:ascii="Aptos" w:hAnsi="Aptos"/>
                <w:b/>
                <w:color w:val="FFFFFF"/>
                <w:sz w:val="17"/>
              </w:rPr>
              <w:t>Time grain</w:t>
            </w:r>
          </w:p>
        </w:tc>
        <w:tc>
          <w:tcPr>
            <w:tcW w:type="dxa" w:w="4752"/>
            <w:vAlign w:val="center"/>
            <w:shd w:fill="17324D"/>
          </w:tcPr>
          <w:p>
            <w:r/>
            <w:r>
              <w:rPr>
                <w:rFonts w:ascii="Aptos" w:hAnsi="Aptos"/>
                <w:b/>
                <w:color w:val="FFFFFF"/>
                <w:sz w:val="17"/>
              </w:rPr>
              <w:t>Project use</w:t>
            </w:r>
          </w:p>
        </w:tc>
      </w:tr>
      <w:tr>
        <w:tc>
          <w:tcPr>
            <w:tcW w:type="dxa" w:w="2304"/>
            <w:vAlign w:val="center"/>
          </w:tcPr>
          <w:p>
            <w:r/>
            <w:r>
              <w:rPr>
                <w:rFonts w:ascii="Aptos" w:hAnsi="Aptos"/>
                <w:b w:val="0"/>
                <w:color w:val="17324D"/>
                <w:sz w:val="17"/>
              </w:rPr>
              <w:t>saleshourly.csv</w:t>
            </w:r>
          </w:p>
        </w:tc>
        <w:tc>
          <w:tcPr>
            <w:tcW w:type="dxa" w:w="1008"/>
            <w:vAlign w:val="center"/>
          </w:tcPr>
          <w:p>
            <w:r/>
            <w:r>
              <w:rPr>
                <w:rFonts w:ascii="Aptos" w:hAnsi="Aptos"/>
                <w:b w:val="0"/>
                <w:color w:val="17324D"/>
                <w:sz w:val="17"/>
              </w:rPr>
              <w:t>50,532</w:t>
            </w:r>
          </w:p>
        </w:tc>
        <w:tc>
          <w:tcPr>
            <w:tcW w:type="dxa" w:w="2016"/>
            <w:vAlign w:val="center"/>
          </w:tcPr>
          <w:p>
            <w:r/>
            <w:r>
              <w:rPr>
                <w:rFonts w:ascii="Aptos" w:hAnsi="Aptos"/>
                <w:b w:val="0"/>
                <w:color w:val="17324D"/>
                <w:sz w:val="17"/>
              </w:rPr>
              <w:t>Hour</w:t>
            </w:r>
          </w:p>
        </w:tc>
        <w:tc>
          <w:tcPr>
            <w:tcW w:type="dxa" w:w="4752"/>
            <w:vAlign w:val="center"/>
          </w:tcPr>
          <w:p>
            <w:r/>
            <w:r>
              <w:rPr>
                <w:rFonts w:ascii="Aptos" w:hAnsi="Aptos"/>
                <w:b w:val="0"/>
                <w:color w:val="17324D"/>
                <w:sz w:val="17"/>
              </w:rPr>
              <w:t>Hour-of-day summary and reconciliation</w:t>
            </w:r>
          </w:p>
        </w:tc>
      </w:tr>
      <w:tr>
        <w:tc>
          <w:tcPr>
            <w:tcW w:type="dxa" w:w="2304"/>
            <w:vAlign w:val="center"/>
            <w:shd w:fill="F3F7F9"/>
          </w:tcPr>
          <w:p>
            <w:r/>
            <w:r>
              <w:rPr>
                <w:rFonts w:ascii="Aptos" w:hAnsi="Aptos"/>
                <w:b w:val="0"/>
                <w:color w:val="17324D"/>
                <w:sz w:val="17"/>
              </w:rPr>
              <w:t>salesdaily.csv</w:t>
            </w:r>
          </w:p>
        </w:tc>
        <w:tc>
          <w:tcPr>
            <w:tcW w:type="dxa" w:w="1008"/>
            <w:vAlign w:val="center"/>
            <w:shd w:fill="F3F7F9"/>
          </w:tcPr>
          <w:p>
            <w:r/>
            <w:r>
              <w:rPr>
                <w:rFonts w:ascii="Aptos" w:hAnsi="Aptos"/>
                <w:b w:val="0"/>
                <w:color w:val="17324D"/>
                <w:sz w:val="17"/>
              </w:rPr>
              <w:t>2,106</w:t>
            </w:r>
          </w:p>
        </w:tc>
        <w:tc>
          <w:tcPr>
            <w:tcW w:type="dxa" w:w="2016"/>
            <w:vAlign w:val="center"/>
            <w:shd w:fill="F3F7F9"/>
          </w:tcPr>
          <w:p>
            <w:r/>
            <w:r>
              <w:rPr>
                <w:rFonts w:ascii="Aptos" w:hAnsi="Aptos"/>
                <w:b w:val="0"/>
                <w:color w:val="17324D"/>
                <w:sz w:val="17"/>
              </w:rPr>
              <w:t>Day</w:t>
            </w:r>
          </w:p>
        </w:tc>
        <w:tc>
          <w:tcPr>
            <w:tcW w:type="dxa" w:w="4752"/>
            <w:vAlign w:val="center"/>
            <w:shd w:fill="F3F7F9"/>
          </w:tcPr>
          <w:p>
            <w:r/>
            <w:r>
              <w:rPr>
                <w:rFonts w:ascii="Aptos" w:hAnsi="Aptos"/>
                <w:b w:val="0"/>
                <w:color w:val="17324D"/>
                <w:sz w:val="17"/>
              </w:rPr>
              <w:t>Canonical source for main analysis</w:t>
            </w:r>
          </w:p>
        </w:tc>
      </w:tr>
      <w:tr>
        <w:tc>
          <w:tcPr>
            <w:tcW w:type="dxa" w:w="2304"/>
            <w:vAlign w:val="center"/>
          </w:tcPr>
          <w:p>
            <w:r/>
            <w:r>
              <w:rPr>
                <w:rFonts w:ascii="Aptos" w:hAnsi="Aptos"/>
                <w:b w:val="0"/>
                <w:color w:val="17324D"/>
                <w:sz w:val="17"/>
              </w:rPr>
              <w:t>salesweekly.csv</w:t>
            </w:r>
          </w:p>
        </w:tc>
        <w:tc>
          <w:tcPr>
            <w:tcW w:type="dxa" w:w="1008"/>
            <w:vAlign w:val="center"/>
          </w:tcPr>
          <w:p>
            <w:r/>
            <w:r>
              <w:rPr>
                <w:rFonts w:ascii="Aptos" w:hAnsi="Aptos"/>
                <w:b w:val="0"/>
                <w:color w:val="17324D"/>
                <w:sz w:val="17"/>
              </w:rPr>
              <w:t>302</w:t>
            </w:r>
          </w:p>
        </w:tc>
        <w:tc>
          <w:tcPr>
            <w:tcW w:type="dxa" w:w="2016"/>
            <w:vAlign w:val="center"/>
          </w:tcPr>
          <w:p>
            <w:r/>
            <w:r>
              <w:rPr>
                <w:rFonts w:ascii="Aptos" w:hAnsi="Aptos"/>
                <w:b w:val="0"/>
                <w:color w:val="17324D"/>
                <w:sz w:val="17"/>
              </w:rPr>
              <w:t>Week ending Sunday</w:t>
            </w:r>
          </w:p>
        </w:tc>
        <w:tc>
          <w:tcPr>
            <w:tcW w:type="dxa" w:w="4752"/>
            <w:vAlign w:val="center"/>
          </w:tcPr>
          <w:p>
            <w:r/>
            <w:r>
              <w:rPr>
                <w:rFonts w:ascii="Aptos" w:hAnsi="Aptos"/>
                <w:b w:val="0"/>
                <w:color w:val="17324D"/>
                <w:sz w:val="17"/>
              </w:rPr>
              <w:t>Reconciliation</w:t>
            </w:r>
          </w:p>
        </w:tc>
      </w:tr>
      <w:tr>
        <w:tc>
          <w:tcPr>
            <w:tcW w:type="dxa" w:w="2304"/>
            <w:vAlign w:val="center"/>
            <w:shd w:fill="F3F7F9"/>
          </w:tcPr>
          <w:p>
            <w:r/>
            <w:r>
              <w:rPr>
                <w:rFonts w:ascii="Aptos" w:hAnsi="Aptos"/>
                <w:b w:val="0"/>
                <w:color w:val="17324D"/>
                <w:sz w:val="17"/>
              </w:rPr>
              <w:t>salesmonthly.csv</w:t>
            </w:r>
          </w:p>
        </w:tc>
        <w:tc>
          <w:tcPr>
            <w:tcW w:type="dxa" w:w="1008"/>
            <w:vAlign w:val="center"/>
            <w:shd w:fill="F3F7F9"/>
          </w:tcPr>
          <w:p>
            <w:r/>
            <w:r>
              <w:rPr>
                <w:rFonts w:ascii="Aptos" w:hAnsi="Aptos"/>
                <w:b w:val="0"/>
                <w:color w:val="17324D"/>
                <w:sz w:val="17"/>
              </w:rPr>
              <w:t>70</w:t>
            </w:r>
          </w:p>
        </w:tc>
        <w:tc>
          <w:tcPr>
            <w:tcW w:type="dxa" w:w="2016"/>
            <w:vAlign w:val="center"/>
            <w:shd w:fill="F3F7F9"/>
          </w:tcPr>
          <w:p>
            <w:r/>
            <w:r>
              <w:rPr>
                <w:rFonts w:ascii="Aptos" w:hAnsi="Aptos"/>
                <w:b w:val="0"/>
                <w:color w:val="17324D"/>
                <w:sz w:val="17"/>
              </w:rPr>
              <w:t>Month</w:t>
            </w:r>
          </w:p>
        </w:tc>
        <w:tc>
          <w:tcPr>
            <w:tcW w:type="dxa" w:w="4752"/>
            <w:vAlign w:val="center"/>
            <w:shd w:fill="F3F7F9"/>
          </w:tcPr>
          <w:p>
            <w:r/>
            <w:r>
              <w:rPr>
                <w:rFonts w:ascii="Aptos" w:hAnsi="Aptos"/>
                <w:b w:val="0"/>
                <w:color w:val="17324D"/>
                <w:sz w:val="17"/>
              </w:rPr>
              <w:t>Reconciliation; not the main monthly source</w:t>
            </w:r>
          </w:p>
        </w:tc>
      </w:tr>
    </w:tbl>
    <w:p>
      <w:pPr>
        <w:spacing w:after="0"/>
      </w:pPr>
    </w:p>
    <w:p>
      <w:r>
        <w:t>The four files are different aggregations of the same underlying series. They must not be added together. Adding hourly + daily + weekly + monthly values would count the same demand repeatedly.</w:t>
      </w:r>
    </w:p>
    <w:p>
      <w:pPr>
        <w:pStyle w:val="Heading2"/>
      </w:pPr>
      <w:r>
        <w:t>3.2 ATC categories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152"/>
            <w:vAlign w:val="center"/>
            <w:shd w:fill="17324D"/>
          </w:tcPr>
          <w:p>
            <w:r/>
            <w:r>
              <w:rPr>
                <w:rFonts w:ascii="Aptos" w:hAnsi="Aptos"/>
                <w:b/>
                <w:color w:val="FFFFFF"/>
                <w:sz w:val="16"/>
              </w:rPr>
              <w:t>Code</w:t>
            </w:r>
          </w:p>
        </w:tc>
        <w:tc>
          <w:tcPr>
            <w:tcW w:type="dxa" w:w="8928"/>
            <w:vAlign w:val="center"/>
            <w:shd w:fill="17324D"/>
          </w:tcPr>
          <w:p>
            <w:r/>
            <w:r>
              <w:rPr>
                <w:rFonts w:ascii="Aptos" w:hAnsi="Aptos"/>
                <w:b/>
                <w:color w:val="FFFFFF"/>
                <w:sz w:val="16"/>
              </w:rPr>
              <w:t>Category description</w:t>
            </w:r>
          </w:p>
        </w:tc>
      </w:tr>
      <w:tr>
        <w:tc>
          <w:tcPr>
            <w:tcW w:type="dxa" w:w="1152"/>
            <w:vAlign w:val="center"/>
          </w:tcPr>
          <w:p>
            <w:r/>
            <w:r>
              <w:rPr>
                <w:rFonts w:ascii="Aptos" w:hAnsi="Aptos"/>
                <w:b w:val="0"/>
                <w:color w:val="17324D"/>
                <w:sz w:val="16"/>
              </w:rPr>
              <w:t>M01AB</w:t>
            </w:r>
          </w:p>
        </w:tc>
        <w:tc>
          <w:tcPr>
            <w:tcW w:type="dxa" w:w="8928"/>
            <w:vAlign w:val="center"/>
          </w:tcPr>
          <w:p>
            <w:r/>
            <w:r>
              <w:rPr>
                <w:rFonts w:ascii="Aptos" w:hAnsi="Aptos"/>
                <w:b w:val="0"/>
                <w:color w:val="17324D"/>
                <w:sz w:val="16"/>
              </w:rPr>
              <w:t>Anti-inflammatory and antirheumatic products, non-steroids — acetic acid derivatives and related substances</w:t>
            </w:r>
          </w:p>
        </w:tc>
      </w:tr>
      <w:tr>
        <w:tc>
          <w:tcPr>
            <w:tcW w:type="dxa" w:w="1152"/>
            <w:vAlign w:val="center"/>
            <w:shd w:fill="F3F7F9"/>
          </w:tcPr>
          <w:p>
            <w:r/>
            <w:r>
              <w:rPr>
                <w:rFonts w:ascii="Aptos" w:hAnsi="Aptos"/>
                <w:b w:val="0"/>
                <w:color w:val="17324D"/>
                <w:sz w:val="16"/>
              </w:rPr>
              <w:t>M01AE</w:t>
            </w:r>
          </w:p>
        </w:tc>
        <w:tc>
          <w:tcPr>
            <w:tcW w:type="dxa" w:w="8928"/>
            <w:vAlign w:val="center"/>
            <w:shd w:fill="F3F7F9"/>
          </w:tcPr>
          <w:p>
            <w:r/>
            <w:r>
              <w:rPr>
                <w:rFonts w:ascii="Aptos" w:hAnsi="Aptos"/>
                <w:b w:val="0"/>
                <w:color w:val="17324D"/>
                <w:sz w:val="16"/>
              </w:rPr>
              <w:t>Anti-inflammatory and antirheumatic products, non-steroids — propionic acid derivatives</w:t>
            </w:r>
          </w:p>
        </w:tc>
      </w:tr>
      <w:tr>
        <w:tc>
          <w:tcPr>
            <w:tcW w:type="dxa" w:w="1152"/>
            <w:vAlign w:val="center"/>
          </w:tcPr>
          <w:p>
            <w:r/>
            <w:r>
              <w:rPr>
                <w:rFonts w:ascii="Aptos" w:hAnsi="Aptos"/>
                <w:b w:val="0"/>
                <w:color w:val="17324D"/>
                <w:sz w:val="16"/>
              </w:rPr>
              <w:t>N02BA</w:t>
            </w:r>
          </w:p>
        </w:tc>
        <w:tc>
          <w:tcPr>
            <w:tcW w:type="dxa" w:w="8928"/>
            <w:vAlign w:val="center"/>
          </w:tcPr>
          <w:p>
            <w:r/>
            <w:r>
              <w:rPr>
                <w:rFonts w:ascii="Aptos" w:hAnsi="Aptos"/>
                <w:b w:val="0"/>
                <w:color w:val="17324D"/>
                <w:sz w:val="16"/>
              </w:rPr>
              <w:t>Other analgesics and antipyretics — salicylic acid and derivatives</w:t>
            </w:r>
          </w:p>
        </w:tc>
      </w:tr>
      <w:tr>
        <w:tc>
          <w:tcPr>
            <w:tcW w:type="dxa" w:w="1152"/>
            <w:vAlign w:val="center"/>
            <w:shd w:fill="F3F7F9"/>
          </w:tcPr>
          <w:p>
            <w:r/>
            <w:r>
              <w:rPr>
                <w:rFonts w:ascii="Aptos" w:hAnsi="Aptos"/>
                <w:b w:val="0"/>
                <w:color w:val="17324D"/>
                <w:sz w:val="16"/>
              </w:rPr>
              <w:t>N02BE</w:t>
            </w:r>
          </w:p>
        </w:tc>
        <w:tc>
          <w:tcPr>
            <w:tcW w:type="dxa" w:w="8928"/>
            <w:vAlign w:val="center"/>
            <w:shd w:fill="F3F7F9"/>
          </w:tcPr>
          <w:p>
            <w:r/>
            <w:r>
              <w:rPr>
                <w:rFonts w:ascii="Aptos" w:hAnsi="Aptos"/>
                <w:b w:val="0"/>
                <w:color w:val="17324D"/>
                <w:sz w:val="16"/>
              </w:rPr>
              <w:t>Other analgesics and antipyretics — pyrazolones and anilides</w:t>
            </w:r>
          </w:p>
        </w:tc>
      </w:tr>
      <w:tr>
        <w:tc>
          <w:tcPr>
            <w:tcW w:type="dxa" w:w="1152"/>
            <w:vAlign w:val="center"/>
          </w:tcPr>
          <w:p>
            <w:r/>
            <w:r>
              <w:rPr>
                <w:rFonts w:ascii="Aptos" w:hAnsi="Aptos"/>
                <w:b w:val="0"/>
                <w:color w:val="17324D"/>
                <w:sz w:val="16"/>
              </w:rPr>
              <w:t>N05B</w:t>
            </w:r>
          </w:p>
        </w:tc>
        <w:tc>
          <w:tcPr>
            <w:tcW w:type="dxa" w:w="8928"/>
            <w:vAlign w:val="center"/>
          </w:tcPr>
          <w:p>
            <w:r/>
            <w:r>
              <w:rPr>
                <w:rFonts w:ascii="Aptos" w:hAnsi="Aptos"/>
                <w:b w:val="0"/>
                <w:color w:val="17324D"/>
                <w:sz w:val="16"/>
              </w:rPr>
              <w:t>Psycholeptics — anxiolytic drugs</w:t>
            </w:r>
          </w:p>
        </w:tc>
      </w:tr>
      <w:tr>
        <w:tc>
          <w:tcPr>
            <w:tcW w:type="dxa" w:w="1152"/>
            <w:vAlign w:val="center"/>
            <w:shd w:fill="F3F7F9"/>
          </w:tcPr>
          <w:p>
            <w:r/>
            <w:r>
              <w:rPr>
                <w:rFonts w:ascii="Aptos" w:hAnsi="Aptos"/>
                <w:b w:val="0"/>
                <w:color w:val="17324D"/>
                <w:sz w:val="16"/>
              </w:rPr>
              <w:t>N05C</w:t>
            </w:r>
          </w:p>
        </w:tc>
        <w:tc>
          <w:tcPr>
            <w:tcW w:type="dxa" w:w="8928"/>
            <w:vAlign w:val="center"/>
            <w:shd w:fill="F3F7F9"/>
          </w:tcPr>
          <w:p>
            <w:r/>
            <w:r>
              <w:rPr>
                <w:rFonts w:ascii="Aptos" w:hAnsi="Aptos"/>
                <w:b w:val="0"/>
                <w:color w:val="17324D"/>
                <w:sz w:val="16"/>
              </w:rPr>
              <w:t>Psycholeptics — hypnotics and sedatives</w:t>
            </w:r>
          </w:p>
        </w:tc>
      </w:tr>
      <w:tr>
        <w:tc>
          <w:tcPr>
            <w:tcW w:type="dxa" w:w="1152"/>
            <w:vAlign w:val="center"/>
          </w:tcPr>
          <w:p>
            <w:r/>
            <w:r>
              <w:rPr>
                <w:rFonts w:ascii="Aptos" w:hAnsi="Aptos"/>
                <w:b w:val="0"/>
                <w:color w:val="17324D"/>
                <w:sz w:val="16"/>
              </w:rPr>
              <w:t>R03</w:t>
            </w:r>
          </w:p>
        </w:tc>
        <w:tc>
          <w:tcPr>
            <w:tcW w:type="dxa" w:w="8928"/>
            <w:vAlign w:val="center"/>
          </w:tcPr>
          <w:p>
            <w:r/>
            <w:r>
              <w:rPr>
                <w:rFonts w:ascii="Aptos" w:hAnsi="Aptos"/>
                <w:b w:val="0"/>
                <w:color w:val="17324D"/>
                <w:sz w:val="16"/>
              </w:rPr>
              <w:t>Drugs for obstructive airway diseases</w:t>
            </w:r>
          </w:p>
        </w:tc>
      </w:tr>
      <w:tr>
        <w:tc>
          <w:tcPr>
            <w:tcW w:type="dxa" w:w="1152"/>
            <w:vAlign w:val="center"/>
            <w:shd w:fill="F3F7F9"/>
          </w:tcPr>
          <w:p>
            <w:r/>
            <w:r>
              <w:rPr>
                <w:rFonts w:ascii="Aptos" w:hAnsi="Aptos"/>
                <w:b w:val="0"/>
                <w:color w:val="17324D"/>
                <w:sz w:val="16"/>
              </w:rPr>
              <w:t>R06</w:t>
            </w:r>
          </w:p>
        </w:tc>
        <w:tc>
          <w:tcPr>
            <w:tcW w:type="dxa" w:w="8928"/>
            <w:vAlign w:val="center"/>
            <w:shd w:fill="F3F7F9"/>
          </w:tcPr>
          <w:p>
            <w:r/>
            <w:r>
              <w:rPr>
                <w:rFonts w:ascii="Aptos" w:hAnsi="Aptos"/>
                <w:b w:val="0"/>
                <w:color w:val="17324D"/>
                <w:sz w:val="16"/>
              </w:rPr>
              <w:t>Antihistamines for systemic use</w:t>
            </w:r>
          </w:p>
        </w:tc>
      </w:tr>
    </w:tbl>
    <w:p>
      <w:pPr>
        <w:spacing w:after="0"/>
      </w:pPr>
    </w:p>
    <w:p>
      <w:r>
        <w:t>The Kaggle description labels the N02BE group as N02BE/B, whereas the supplied CSV column is N02BE. This report follows the CSV field name and retains the source description.</w:t>
      </w:r>
    </w:p>
    <w:p>
      <w:pPr>
        <w:pStyle w:val="Heading2"/>
      </w:pPr>
      <w:r>
        <w:t>3.3 Core analytical fields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024"/>
            <w:vAlign w:val="center"/>
            <w:shd w:fill="17324D"/>
          </w:tcPr>
          <w:p>
            <w:r/>
            <w:r>
              <w:rPr>
                <w:rFonts w:ascii="Aptos" w:hAnsi="Aptos"/>
                <w:b/>
                <w:color w:val="FFFFFF"/>
                <w:sz w:val="17"/>
              </w:rPr>
              <w:t>Field</w:t>
            </w:r>
          </w:p>
        </w:tc>
        <w:tc>
          <w:tcPr>
            <w:tcW w:type="dxa" w:w="7056"/>
            <w:vAlign w:val="center"/>
            <w:shd w:fill="17324D"/>
          </w:tcPr>
          <w:p>
            <w:r/>
            <w:r>
              <w:rPr>
                <w:rFonts w:ascii="Aptos" w:hAnsi="Aptos"/>
                <w:b/>
                <w:color w:val="FFFFFF"/>
                <w:sz w:val="17"/>
              </w:rPr>
              <w:t>Meaning</w:t>
            </w:r>
          </w:p>
        </w:tc>
      </w:tr>
      <w:tr>
        <w:tc>
          <w:tcPr>
            <w:tcW w:type="dxa" w:w="3024"/>
            <w:vAlign w:val="center"/>
          </w:tcPr>
          <w:p>
            <w:r/>
            <w:r>
              <w:rPr>
                <w:rFonts w:ascii="Aptos" w:hAnsi="Aptos"/>
                <w:b w:val="0"/>
                <w:color w:val="17324D"/>
                <w:sz w:val="17"/>
              </w:rPr>
              <w:t>Sale_Date</w:t>
            </w:r>
          </w:p>
        </w:tc>
        <w:tc>
          <w:tcPr>
            <w:tcW w:type="dxa" w:w="7056"/>
            <w:vAlign w:val="center"/>
          </w:tcPr>
          <w:p>
            <w:r/>
            <w:r>
              <w:rPr>
                <w:rFonts w:ascii="Aptos" w:hAnsi="Aptos"/>
                <w:b w:val="0"/>
                <w:color w:val="17324D"/>
                <w:sz w:val="17"/>
              </w:rPr>
              <w:t>Observed calendar date</w:t>
            </w:r>
          </w:p>
        </w:tc>
      </w:tr>
      <w:tr>
        <w:tc>
          <w:tcPr>
            <w:tcW w:type="dxa" w:w="3024"/>
            <w:vAlign w:val="center"/>
            <w:shd w:fill="F3F7F9"/>
          </w:tcPr>
          <w:p>
            <w:r/>
            <w:r>
              <w:rPr>
                <w:rFonts w:ascii="Aptos" w:hAnsi="Aptos"/>
                <w:b w:val="0"/>
                <w:color w:val="17324D"/>
                <w:sz w:val="17"/>
              </w:rPr>
              <w:t>M01AB … R06</w:t>
            </w:r>
          </w:p>
        </w:tc>
        <w:tc>
          <w:tcPr>
            <w:tcW w:type="dxa" w:w="7056"/>
            <w:vAlign w:val="center"/>
            <w:shd w:fill="F3F7F9"/>
          </w:tcPr>
          <w:p>
            <w:r/>
            <w:r>
              <w:rPr>
                <w:rFonts w:ascii="Aptos" w:hAnsi="Aptos"/>
                <w:b w:val="0"/>
                <w:color w:val="17324D"/>
                <w:sz w:val="17"/>
              </w:rPr>
              <w:t>Recorded quantity in each ATC category</w:t>
            </w:r>
          </w:p>
        </w:tc>
      </w:tr>
      <w:tr>
        <w:tc>
          <w:tcPr>
            <w:tcW w:type="dxa" w:w="3024"/>
            <w:vAlign w:val="center"/>
          </w:tcPr>
          <w:p>
            <w:r/>
            <w:r>
              <w:rPr>
                <w:rFonts w:ascii="Aptos" w:hAnsi="Aptos"/>
                <w:b w:val="0"/>
                <w:color w:val="17324D"/>
                <w:sz w:val="17"/>
              </w:rPr>
              <w:t>Total_Quantity</w:t>
            </w:r>
          </w:p>
        </w:tc>
        <w:tc>
          <w:tcPr>
            <w:tcW w:type="dxa" w:w="7056"/>
            <w:vAlign w:val="center"/>
          </w:tcPr>
          <w:p>
            <w:r/>
            <w:r>
              <w:rPr>
                <w:rFonts w:ascii="Aptos" w:hAnsi="Aptos"/>
                <w:b w:val="0"/>
                <w:color w:val="17324D"/>
                <w:sz w:val="17"/>
              </w:rPr>
              <w:t>Sum of all eight categories for a date</w:t>
            </w:r>
          </w:p>
        </w:tc>
      </w:tr>
      <w:tr>
        <w:tc>
          <w:tcPr>
            <w:tcW w:type="dxa" w:w="3024"/>
            <w:vAlign w:val="center"/>
            <w:shd w:fill="F3F7F9"/>
          </w:tcPr>
          <w:p>
            <w:r/>
            <w:r>
              <w:rPr>
                <w:rFonts w:ascii="Aptos" w:hAnsi="Aptos"/>
                <w:b w:val="0"/>
                <w:color w:val="17324D"/>
                <w:sz w:val="17"/>
              </w:rPr>
              <w:t>Month_Start</w:t>
            </w:r>
          </w:p>
        </w:tc>
        <w:tc>
          <w:tcPr>
            <w:tcW w:type="dxa" w:w="7056"/>
            <w:vAlign w:val="center"/>
            <w:shd w:fill="F3F7F9"/>
          </w:tcPr>
          <w:p>
            <w:r/>
            <w:r>
              <w:rPr>
                <w:rFonts w:ascii="Aptos" w:hAnsi="Aptos"/>
                <w:b w:val="0"/>
                <w:color w:val="17324D"/>
                <w:sz w:val="17"/>
              </w:rPr>
              <w:t>First day of the month, used for monthly grouping</w:t>
            </w:r>
          </w:p>
        </w:tc>
      </w:tr>
      <w:tr>
        <w:tc>
          <w:tcPr>
            <w:tcW w:type="dxa" w:w="3024"/>
            <w:vAlign w:val="center"/>
          </w:tcPr>
          <w:p>
            <w:r/>
            <w:r>
              <w:rPr>
                <w:rFonts w:ascii="Aptos" w:hAnsi="Aptos"/>
                <w:b w:val="0"/>
                <w:color w:val="17324D"/>
                <w:sz w:val="17"/>
              </w:rPr>
              <w:t>Is_Complete_Month</w:t>
            </w:r>
          </w:p>
        </w:tc>
        <w:tc>
          <w:tcPr>
            <w:tcW w:type="dxa" w:w="7056"/>
            <w:vAlign w:val="center"/>
          </w:tcPr>
          <w:p>
            <w:r/>
            <w:r>
              <w:rPr>
                <w:rFonts w:ascii="Aptos" w:hAnsi="Aptos"/>
                <w:b w:val="0"/>
                <w:color w:val="17324D"/>
                <w:sz w:val="17"/>
              </w:rPr>
              <w:t>True only when every calendar date in that month is observed</w:t>
            </w:r>
          </w:p>
        </w:tc>
      </w:tr>
      <w:tr>
        <w:tc>
          <w:tcPr>
            <w:tcW w:type="dxa" w:w="3024"/>
            <w:vAlign w:val="center"/>
            <w:shd w:fill="F3F7F9"/>
          </w:tcPr>
          <w:p>
            <w:r/>
            <w:r>
              <w:rPr>
                <w:rFonts w:ascii="Aptos" w:hAnsi="Aptos"/>
                <w:b w:val="0"/>
                <w:color w:val="17324D"/>
                <w:sz w:val="17"/>
              </w:rPr>
              <w:t>ATC_Category + Quantity</w:t>
            </w:r>
          </w:p>
        </w:tc>
        <w:tc>
          <w:tcPr>
            <w:tcW w:type="dxa" w:w="7056"/>
            <w:vAlign w:val="center"/>
            <w:shd w:fill="F3F7F9"/>
          </w:tcPr>
          <w:p>
            <w:r/>
            <w:r>
              <w:rPr>
                <w:rFonts w:ascii="Aptos" w:hAnsi="Aptos"/>
                <w:b w:val="0"/>
                <w:color w:val="17324D"/>
                <w:sz w:val="17"/>
              </w:rPr>
              <w:t>Long-format fields: one row per date and category</w:t>
            </w:r>
          </w:p>
        </w:tc>
      </w:tr>
    </w:tbl>
    <w:p>
      <w:pPr>
        <w:spacing w:after="0"/>
      </w:pPr>
    </w:p>
    <w:p>
      <w:pPr>
        <w:pStyle w:val="Heading1"/>
      </w:pPr>
      <w:r>
        <w:t>4. Methodology</w:t>
      </w:r>
    </w:p>
    <w:p>
      <w:pPr>
        <w:pStyle w:val="Heading2"/>
      </w:pPr>
      <w:r>
        <w:t>4.1 Tools and outputs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728"/>
            <w:vAlign w:val="center"/>
            <w:shd w:fill="17324D"/>
          </w:tcPr>
          <w:p>
            <w:r/>
            <w:r>
              <w:rPr>
                <w:rFonts w:ascii="Aptos" w:hAnsi="Aptos"/>
                <w:b/>
                <w:color w:val="FFFFFF"/>
                <w:sz w:val="17"/>
              </w:rPr>
              <w:t>Area</w:t>
            </w:r>
          </w:p>
        </w:tc>
        <w:tc>
          <w:tcPr>
            <w:tcW w:type="dxa" w:w="8352"/>
            <w:vAlign w:val="center"/>
            <w:shd w:fill="17324D"/>
          </w:tcPr>
          <w:p>
            <w:r/>
            <w:r>
              <w:rPr>
                <w:rFonts w:ascii="Aptos" w:hAnsi="Aptos"/>
                <w:b/>
                <w:color w:val="FFFFFF"/>
                <w:sz w:val="17"/>
              </w:rPr>
              <w:t>Method / output</w:t>
            </w:r>
          </w:p>
        </w:tc>
      </w:tr>
      <w:tr>
        <w:tc>
          <w:tcPr>
            <w:tcW w:type="dxa" w:w="1728"/>
            <w:vAlign w:val="center"/>
          </w:tcPr>
          <w:p>
            <w:r/>
            <w:r>
              <w:rPr>
                <w:rFonts w:ascii="Aptos" w:hAnsi="Aptos"/>
                <w:b w:val="0"/>
                <w:color w:val="17324D"/>
                <w:sz w:val="17"/>
              </w:rPr>
              <w:t>SQL</w:t>
            </w:r>
          </w:p>
        </w:tc>
        <w:tc>
          <w:tcPr>
            <w:tcW w:type="dxa" w:w="8352"/>
            <w:vAlign w:val="center"/>
          </w:tcPr>
          <w:p>
            <w:r/>
            <w:r>
              <w:rPr>
                <w:rFonts w:ascii="Aptos" w:hAnsi="Aptos"/>
                <w:b w:val="0"/>
                <w:color w:val="17324D"/>
                <w:sz w:val="17"/>
              </w:rPr>
              <w:t>MySQL 8.0 staging table, quality checks, clean table, long/monthly views and analytical queries</w:t>
            </w:r>
          </w:p>
        </w:tc>
      </w:tr>
      <w:tr>
        <w:tc>
          <w:tcPr>
            <w:tcW w:type="dxa" w:w="1728"/>
            <w:vAlign w:val="center"/>
            <w:shd w:fill="F3F7F9"/>
          </w:tcPr>
          <w:p>
            <w:r/>
            <w:r>
              <w:rPr>
                <w:rFonts w:ascii="Aptos" w:hAnsi="Aptos"/>
                <w:b w:val="0"/>
                <w:color w:val="17324D"/>
                <w:sz w:val="17"/>
              </w:rPr>
              <w:t>Excel</w:t>
            </w:r>
          </w:p>
        </w:tc>
        <w:tc>
          <w:tcPr>
            <w:tcW w:type="dxa" w:w="8352"/>
            <w:vAlign w:val="center"/>
            <w:shd w:fill="F3F7F9"/>
          </w:tcPr>
          <w:p>
            <w:r/>
            <w:r>
              <w:rPr>
                <w:rFonts w:ascii="Aptos" w:hAnsi="Aptos"/>
                <w:b w:val="0"/>
                <w:color w:val="17324D"/>
                <w:sz w:val="17"/>
              </w:rPr>
              <w:t>Raw/clean/long sheets, formulas, monthly/category summaries, charts and Year/Category drop-down dashboard</w:t>
            </w:r>
          </w:p>
        </w:tc>
      </w:tr>
      <w:tr>
        <w:tc>
          <w:tcPr>
            <w:tcW w:type="dxa" w:w="1728"/>
            <w:vAlign w:val="center"/>
          </w:tcPr>
          <w:p>
            <w:r/>
            <w:r>
              <w:rPr>
                <w:rFonts w:ascii="Aptos" w:hAnsi="Aptos"/>
                <w:b w:val="0"/>
                <w:color w:val="17324D"/>
                <w:sz w:val="17"/>
              </w:rPr>
              <w:t>Power BI</w:t>
            </w:r>
          </w:p>
        </w:tc>
        <w:tc>
          <w:tcPr>
            <w:tcW w:type="dxa" w:w="8352"/>
            <w:vAlign w:val="center"/>
          </w:tcPr>
          <w:p>
            <w:r/>
            <w:r>
              <w:rPr>
                <w:rFonts w:ascii="Aptos" w:hAnsi="Aptos"/>
                <w:b w:val="0"/>
                <w:color w:val="17324D"/>
                <w:sz w:val="17"/>
              </w:rPr>
              <w:t>Long CSV, Date-table design and DAX measures; .pbix to be built in Power BI Desktop</w:t>
            </w:r>
          </w:p>
        </w:tc>
      </w:tr>
      <w:tr>
        <w:tc>
          <w:tcPr>
            <w:tcW w:type="dxa" w:w="1728"/>
            <w:vAlign w:val="center"/>
            <w:shd w:fill="F3F7F9"/>
          </w:tcPr>
          <w:p>
            <w:r/>
            <w:r>
              <w:rPr>
                <w:rFonts w:ascii="Aptos" w:hAnsi="Aptos"/>
                <w:b w:val="0"/>
                <w:color w:val="17324D"/>
                <w:sz w:val="17"/>
              </w:rPr>
              <w:t>Tableau</w:t>
            </w:r>
          </w:p>
        </w:tc>
        <w:tc>
          <w:tcPr>
            <w:tcW w:type="dxa" w:w="8352"/>
            <w:vAlign w:val="center"/>
            <w:shd w:fill="F3F7F9"/>
          </w:tcPr>
          <w:p>
            <w:r/>
            <w:r>
              <w:rPr>
                <w:rFonts w:ascii="Aptos" w:hAnsi="Aptos"/>
                <w:b w:val="0"/>
                <w:color w:val="17324D"/>
                <w:sz w:val="17"/>
              </w:rPr>
              <w:t>Long CSV, calculated fields and dashboard design; .twbx to be built in Tableau</w:t>
            </w:r>
          </w:p>
        </w:tc>
      </w:tr>
      <w:tr>
        <w:tc>
          <w:tcPr>
            <w:tcW w:type="dxa" w:w="1728"/>
            <w:vAlign w:val="center"/>
          </w:tcPr>
          <w:p>
            <w:r/>
            <w:r>
              <w:rPr>
                <w:rFonts w:ascii="Aptos" w:hAnsi="Aptos"/>
                <w:b w:val="0"/>
                <w:color w:val="17324D"/>
                <w:sz w:val="17"/>
              </w:rPr>
              <w:t>Major project</w:t>
            </w:r>
          </w:p>
        </w:tc>
        <w:tc>
          <w:tcPr>
            <w:tcW w:type="dxa" w:w="8352"/>
            <w:vAlign w:val="center"/>
          </w:tcPr>
          <w:p>
            <w:r/>
            <w:r>
              <w:rPr>
                <w:rFonts w:ascii="Aptos" w:hAnsi="Aptos"/>
                <w:b w:val="0"/>
                <w:color w:val="17324D"/>
                <w:sz w:val="17"/>
              </w:rPr>
              <w:t>Cleaned CSVs, calculated result tables, charts, methods, report and submission documentation</w:t>
            </w:r>
          </w:p>
        </w:tc>
      </w:tr>
    </w:tbl>
    <w:p>
      <w:pPr>
        <w:spacing w:after="0"/>
      </w:pPr>
    </w:p>
    <w:p>
      <w:pPr>
        <w:pStyle w:val="Heading2"/>
      </w:pPr>
      <w:r>
        <w:t>4.2 Cleaning and preparation steps</w:t>
      </w:r>
    </w:p>
    <w:p>
      <w:pPr>
        <w:pStyle w:val="ListNumber"/>
      </w:pPr>
      <w:r>
        <w:t>Parse source dates explicitly and validate Year, Month and Weekday against them.</w:t>
      </w:r>
    </w:p>
    <w:p>
      <w:pPr>
        <w:pStyle w:val="ListNumber"/>
      </w:pPr>
      <w:r>
        <w:t>Check blank cells, exact duplicate rows, duplicate dates, invalid dates, negative quantities and timestamp continuity.</w:t>
      </w:r>
    </w:p>
    <w:p>
      <w:pPr>
        <w:pStyle w:val="ListNumber"/>
      </w:pPr>
      <w:r>
        <w:t>Retain source decimal precision and avoid unnecessary imputation or outlier deletion.</w:t>
      </w:r>
    </w:p>
    <w:p>
      <w:pPr>
        <w:pStyle w:val="ListNumber"/>
      </w:pPr>
      <w:r>
        <w:t>Exclude the daily Hour helper field because it contains only 190, 248 and 276, not valid time-of-day values.</w:t>
      </w:r>
    </w:p>
    <w:p>
      <w:pPr>
        <w:pStyle w:val="ListNumber"/>
      </w:pPr>
      <w:r>
        <w:t>Create Total_Quantity and calendar fields; transform wide data to a long date/category table for BI.</w:t>
      </w:r>
    </w:p>
    <w:p>
      <w:pPr>
        <w:pStyle w:val="ListNumber"/>
      </w:pPr>
      <w:r>
        <w:t>Derive monthly totals from daily data and flag partial calendar months.</w:t>
      </w:r>
    </w:p>
    <w:p>
      <w:pPr>
        <w:pStyle w:val="ListNumber"/>
      </w:pPr>
      <w:r>
        <w:t>Reconcile source granularities rather than assuming that similarly named files always agree.</w:t>
      </w:r>
    </w:p>
    <w:p>
      <w:pPr>
        <w:pStyle w:val="Heading2"/>
      </w:pPr>
      <w:r>
        <w:t>4.3 Metric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92"/>
            <w:vAlign w:val="center"/>
            <w:shd w:fill="17324D"/>
          </w:tcPr>
          <w:p>
            <w:r/>
            <w:r>
              <w:rPr>
                <w:rFonts w:ascii="Aptos" w:hAnsi="Aptos"/>
                <w:b/>
                <w:color w:val="FFFFFF"/>
                <w:sz w:val="17"/>
              </w:rPr>
              <w:t>Metric</w:t>
            </w:r>
          </w:p>
        </w:tc>
        <w:tc>
          <w:tcPr>
            <w:tcW w:type="dxa" w:w="7488"/>
            <w:vAlign w:val="center"/>
            <w:shd w:fill="17324D"/>
          </w:tcPr>
          <w:p>
            <w:r/>
            <w:r>
              <w:rPr>
                <w:rFonts w:ascii="Aptos" w:hAnsi="Aptos"/>
                <w:b/>
                <w:color w:val="FFFFFF"/>
                <w:sz w:val="17"/>
              </w:rPr>
              <w:t>Definition</w:t>
            </w:r>
          </w:p>
        </w:tc>
      </w:tr>
      <w:tr>
        <w:tc>
          <w:tcPr>
            <w:tcW w:type="dxa" w:w="2592"/>
            <w:vAlign w:val="center"/>
          </w:tcPr>
          <w:p>
            <w:r/>
            <w:r>
              <w:rPr>
                <w:rFonts w:ascii="Aptos" w:hAnsi="Aptos"/>
                <w:b w:val="0"/>
                <w:color w:val="17324D"/>
                <w:sz w:val="17"/>
              </w:rPr>
              <w:t>Total quantity</w:t>
            </w:r>
          </w:p>
        </w:tc>
        <w:tc>
          <w:tcPr>
            <w:tcW w:type="dxa" w:w="7488"/>
            <w:vAlign w:val="center"/>
          </w:tcPr>
          <w:p>
            <w:r/>
            <w:r>
              <w:rPr>
                <w:rFonts w:ascii="Aptos" w:hAnsi="Aptos"/>
                <w:b w:val="0"/>
                <w:color w:val="17324D"/>
                <w:sz w:val="17"/>
              </w:rPr>
              <w:t>Sum of the eight daily category quantities, or sum of Quantity in the long table</w:t>
            </w:r>
          </w:p>
        </w:tc>
      </w:tr>
      <w:tr>
        <w:tc>
          <w:tcPr>
            <w:tcW w:type="dxa" w:w="2592"/>
            <w:vAlign w:val="center"/>
            <w:shd w:fill="F3F7F9"/>
          </w:tcPr>
          <w:p>
            <w:r/>
            <w:r>
              <w:rPr>
                <w:rFonts w:ascii="Aptos" w:hAnsi="Aptos"/>
                <w:b w:val="0"/>
                <w:color w:val="17324D"/>
                <w:sz w:val="17"/>
              </w:rPr>
              <w:t>Average daily quantity</w:t>
            </w:r>
          </w:p>
        </w:tc>
        <w:tc>
          <w:tcPr>
            <w:tcW w:type="dxa" w:w="7488"/>
            <w:vAlign w:val="center"/>
            <w:shd w:fill="F3F7F9"/>
          </w:tcPr>
          <w:p>
            <w:r/>
            <w:r>
              <w:rPr>
                <w:rFonts w:ascii="Aptos" w:hAnsi="Aptos"/>
                <w:b w:val="0"/>
                <w:color w:val="17324D"/>
                <w:sz w:val="17"/>
              </w:rPr>
              <w:t>Total quantity divided by observed dates in the current selection</w:t>
            </w:r>
          </w:p>
        </w:tc>
      </w:tr>
      <w:tr>
        <w:tc>
          <w:tcPr>
            <w:tcW w:type="dxa" w:w="2592"/>
            <w:vAlign w:val="center"/>
          </w:tcPr>
          <w:p>
            <w:r/>
            <w:r>
              <w:rPr>
                <w:rFonts w:ascii="Aptos" w:hAnsi="Aptos"/>
                <w:b w:val="0"/>
                <w:color w:val="17324D"/>
                <w:sz w:val="17"/>
              </w:rPr>
              <w:t>Category share</w:t>
            </w:r>
          </w:p>
        </w:tc>
        <w:tc>
          <w:tcPr>
            <w:tcW w:type="dxa" w:w="7488"/>
            <w:vAlign w:val="center"/>
          </w:tcPr>
          <w:p>
            <w:r/>
            <w:r>
              <w:rPr>
                <w:rFonts w:ascii="Aptos" w:hAnsi="Aptos"/>
                <w:b w:val="0"/>
                <w:color w:val="17324D"/>
                <w:sz w:val="17"/>
              </w:rPr>
              <w:t>Category total ÷ all-category total × 100</w:t>
            </w:r>
          </w:p>
        </w:tc>
      </w:tr>
      <w:tr>
        <w:tc>
          <w:tcPr>
            <w:tcW w:type="dxa" w:w="2592"/>
            <w:vAlign w:val="center"/>
            <w:shd w:fill="F3F7F9"/>
          </w:tcPr>
          <w:p>
            <w:r/>
            <w:r>
              <w:rPr>
                <w:rFonts w:ascii="Aptos" w:hAnsi="Aptos"/>
                <w:b w:val="0"/>
                <w:color w:val="17324D"/>
                <w:sz w:val="17"/>
              </w:rPr>
              <w:t>Monthly quantity</w:t>
            </w:r>
          </w:p>
        </w:tc>
        <w:tc>
          <w:tcPr>
            <w:tcW w:type="dxa" w:w="7488"/>
            <w:vAlign w:val="center"/>
            <w:shd w:fill="F3F7F9"/>
          </w:tcPr>
          <w:p>
            <w:r/>
            <w:r>
              <w:rPr>
                <w:rFonts w:ascii="Aptos" w:hAnsi="Aptos"/>
                <w:b w:val="0"/>
                <w:color w:val="17324D"/>
                <w:sz w:val="17"/>
              </w:rPr>
              <w:t>Sum of daily totals within a calendar month</w:t>
            </w:r>
          </w:p>
        </w:tc>
      </w:tr>
      <w:tr>
        <w:tc>
          <w:tcPr>
            <w:tcW w:type="dxa" w:w="2592"/>
            <w:vAlign w:val="center"/>
          </w:tcPr>
          <w:p>
            <w:r/>
            <w:r>
              <w:rPr>
                <w:rFonts w:ascii="Aptos" w:hAnsi="Aptos"/>
                <w:b w:val="0"/>
                <w:color w:val="17324D"/>
                <w:sz w:val="17"/>
              </w:rPr>
              <w:t>MoM growth</w:t>
            </w:r>
          </w:p>
        </w:tc>
        <w:tc>
          <w:tcPr>
            <w:tcW w:type="dxa" w:w="7488"/>
            <w:vAlign w:val="center"/>
          </w:tcPr>
          <w:p>
            <w:r/>
            <w:r>
              <w:rPr>
                <w:rFonts w:ascii="Aptos" w:hAnsi="Aptos"/>
                <w:b w:val="0"/>
                <w:color w:val="17324D"/>
                <w:sz w:val="17"/>
              </w:rPr>
              <w:t>(Current complete month − previous complete month) ÷ previous complete month × 100</w:t>
            </w:r>
          </w:p>
        </w:tc>
      </w:tr>
      <w:tr>
        <w:tc>
          <w:tcPr>
            <w:tcW w:type="dxa" w:w="2592"/>
            <w:vAlign w:val="center"/>
            <w:shd w:fill="F3F7F9"/>
          </w:tcPr>
          <w:p>
            <w:r/>
            <w:r>
              <w:rPr>
                <w:rFonts w:ascii="Aptos" w:hAnsi="Aptos"/>
                <w:b w:val="0"/>
                <w:color w:val="17324D"/>
                <w:sz w:val="17"/>
              </w:rPr>
              <w:t>Coefficient of variation</w:t>
            </w:r>
          </w:p>
        </w:tc>
        <w:tc>
          <w:tcPr>
            <w:tcW w:type="dxa" w:w="7488"/>
            <w:vAlign w:val="center"/>
            <w:shd w:fill="F3F7F9"/>
          </w:tcPr>
          <w:p>
            <w:r/>
            <w:r>
              <w:rPr>
                <w:rFonts w:ascii="Aptos" w:hAnsi="Aptos"/>
                <w:b w:val="0"/>
                <w:color w:val="17324D"/>
                <w:sz w:val="17"/>
              </w:rPr>
              <w:t>Sample standard deviation ÷ mean; relative historical variability</w:t>
            </w:r>
          </w:p>
        </w:tc>
      </w:tr>
    </w:tbl>
    <w:p>
      <w:pPr>
        <w:spacing w:after="0"/>
      </w:pPr>
    </w:p>
    <w:p>
      <w:pPr>
        <w:pStyle w:val="Heading1"/>
      </w:pPr>
      <w:r>
        <w:t>5. Data Quality and Cleaning Results</w:t>
      </w:r>
    </w:p>
    <w:p>
      <w:pPr>
        <w:pStyle w:val="Heading2"/>
      </w:pPr>
      <w:r>
        <w:t>5.1 Quality-check results</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shd w:fill="17324D"/>
          </w:tcPr>
          <w:p>
            <w:r/>
            <w:r>
              <w:rPr>
                <w:rFonts w:ascii="Aptos" w:hAnsi="Aptos"/>
                <w:b/>
                <w:color w:val="FFFFFF"/>
                <w:sz w:val="15"/>
              </w:rPr>
              <w:t>File</w:t>
            </w:r>
          </w:p>
        </w:tc>
        <w:tc>
          <w:tcPr>
            <w:tcW w:type="dxa" w:w="1452"/>
            <w:vAlign w:val="center"/>
            <w:shd w:fill="17324D"/>
          </w:tcPr>
          <w:p>
            <w:r/>
            <w:r>
              <w:rPr>
                <w:rFonts w:ascii="Aptos" w:hAnsi="Aptos"/>
                <w:b/>
                <w:color w:val="FFFFFF"/>
                <w:sz w:val="15"/>
              </w:rPr>
              <w:t>Rows</w:t>
            </w:r>
          </w:p>
        </w:tc>
        <w:tc>
          <w:tcPr>
            <w:tcW w:type="dxa" w:w="1452"/>
            <w:vAlign w:val="center"/>
            <w:shd w:fill="17324D"/>
          </w:tcPr>
          <w:p>
            <w:r/>
            <w:r>
              <w:rPr>
                <w:rFonts w:ascii="Aptos" w:hAnsi="Aptos"/>
                <w:b/>
                <w:color w:val="FFFFFF"/>
                <w:sz w:val="15"/>
              </w:rPr>
              <w:t>Missing cells</w:t>
            </w:r>
          </w:p>
        </w:tc>
        <w:tc>
          <w:tcPr>
            <w:tcW w:type="dxa" w:w="1452"/>
            <w:vAlign w:val="center"/>
            <w:shd w:fill="17324D"/>
          </w:tcPr>
          <w:p>
            <w:r/>
            <w:r>
              <w:rPr>
                <w:rFonts w:ascii="Aptos" w:hAnsi="Aptos"/>
                <w:b/>
                <w:color w:val="FFFFFF"/>
                <w:sz w:val="15"/>
              </w:rPr>
              <w:t>Duplicate rows</w:t>
            </w:r>
          </w:p>
        </w:tc>
        <w:tc>
          <w:tcPr>
            <w:tcW w:type="dxa" w:w="1452"/>
            <w:vAlign w:val="center"/>
            <w:shd w:fill="17324D"/>
          </w:tcPr>
          <w:p>
            <w:r/>
            <w:r>
              <w:rPr>
                <w:rFonts w:ascii="Aptos" w:hAnsi="Aptos"/>
                <w:b/>
                <w:color w:val="FFFFFF"/>
                <w:sz w:val="15"/>
              </w:rPr>
              <w:t>Duplicate dates</w:t>
            </w:r>
          </w:p>
        </w:tc>
        <w:tc>
          <w:tcPr>
            <w:tcW w:type="dxa" w:w="1452"/>
            <w:vAlign w:val="center"/>
            <w:shd w:fill="17324D"/>
          </w:tcPr>
          <w:p>
            <w:r/>
            <w:r>
              <w:rPr>
                <w:rFonts w:ascii="Aptos" w:hAnsi="Aptos"/>
                <w:b/>
                <w:color w:val="FFFFFF"/>
                <w:sz w:val="15"/>
              </w:rPr>
              <w:t>Invalid dates</w:t>
            </w:r>
          </w:p>
        </w:tc>
        <w:tc>
          <w:tcPr>
            <w:tcW w:type="dxa" w:w="1452"/>
            <w:vAlign w:val="center"/>
            <w:shd w:fill="17324D"/>
          </w:tcPr>
          <w:p>
            <w:r/>
            <w:r>
              <w:rPr>
                <w:rFonts w:ascii="Aptos" w:hAnsi="Aptos"/>
                <w:b/>
                <w:color w:val="FFFFFF"/>
                <w:sz w:val="15"/>
              </w:rPr>
              <w:t>Negative values</w:t>
            </w:r>
          </w:p>
        </w:tc>
      </w:tr>
      <w:tr>
        <w:tc>
          <w:tcPr>
            <w:tcW w:type="dxa" w:w="1452"/>
            <w:vAlign w:val="center"/>
          </w:tcPr>
          <w:p>
            <w:r/>
            <w:r>
              <w:rPr>
                <w:rFonts w:ascii="Aptos" w:hAnsi="Aptos"/>
                <w:b w:val="0"/>
                <w:color w:val="17324D"/>
                <w:sz w:val="15"/>
              </w:rPr>
              <w:t>saleshourly.csv</w:t>
            </w:r>
          </w:p>
        </w:tc>
        <w:tc>
          <w:tcPr>
            <w:tcW w:type="dxa" w:w="1452"/>
            <w:vAlign w:val="center"/>
          </w:tcPr>
          <w:p>
            <w:r/>
            <w:r>
              <w:rPr>
                <w:rFonts w:ascii="Aptos" w:hAnsi="Aptos"/>
                <w:b w:val="0"/>
                <w:color w:val="17324D"/>
                <w:sz w:val="15"/>
              </w:rPr>
              <w:t>50,532</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r>
      <w:tr>
        <w:tc>
          <w:tcPr>
            <w:tcW w:type="dxa" w:w="1452"/>
            <w:vAlign w:val="center"/>
            <w:shd w:fill="F3F7F9"/>
          </w:tcPr>
          <w:p>
            <w:r/>
            <w:r>
              <w:rPr>
                <w:rFonts w:ascii="Aptos" w:hAnsi="Aptos"/>
                <w:b w:val="0"/>
                <w:color w:val="17324D"/>
                <w:sz w:val="15"/>
              </w:rPr>
              <w:t>salesdaily.csv</w:t>
            </w:r>
          </w:p>
        </w:tc>
        <w:tc>
          <w:tcPr>
            <w:tcW w:type="dxa" w:w="1452"/>
            <w:vAlign w:val="center"/>
            <w:shd w:fill="F3F7F9"/>
          </w:tcPr>
          <w:p>
            <w:r/>
            <w:r>
              <w:rPr>
                <w:rFonts w:ascii="Aptos" w:hAnsi="Aptos"/>
                <w:b w:val="0"/>
                <w:color w:val="17324D"/>
                <w:sz w:val="15"/>
              </w:rPr>
              <w:t>2,106</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r>
      <w:tr>
        <w:tc>
          <w:tcPr>
            <w:tcW w:type="dxa" w:w="1452"/>
            <w:vAlign w:val="center"/>
          </w:tcPr>
          <w:p>
            <w:r/>
            <w:r>
              <w:rPr>
                <w:rFonts w:ascii="Aptos" w:hAnsi="Aptos"/>
                <w:b w:val="0"/>
                <w:color w:val="17324D"/>
                <w:sz w:val="15"/>
              </w:rPr>
              <w:t>salesweekly.csv</w:t>
            </w:r>
          </w:p>
        </w:tc>
        <w:tc>
          <w:tcPr>
            <w:tcW w:type="dxa" w:w="1452"/>
            <w:vAlign w:val="center"/>
          </w:tcPr>
          <w:p>
            <w:r/>
            <w:r>
              <w:rPr>
                <w:rFonts w:ascii="Aptos" w:hAnsi="Aptos"/>
                <w:b w:val="0"/>
                <w:color w:val="17324D"/>
                <w:sz w:val="15"/>
              </w:rPr>
              <w:t>302</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c>
          <w:tcPr>
            <w:tcW w:type="dxa" w:w="1452"/>
            <w:vAlign w:val="center"/>
          </w:tcPr>
          <w:p>
            <w:r/>
            <w:r>
              <w:rPr>
                <w:rFonts w:ascii="Aptos" w:hAnsi="Aptos"/>
                <w:b w:val="0"/>
                <w:color w:val="17324D"/>
                <w:sz w:val="15"/>
              </w:rPr>
              <w:t>0</w:t>
            </w:r>
          </w:p>
        </w:tc>
      </w:tr>
      <w:tr>
        <w:tc>
          <w:tcPr>
            <w:tcW w:type="dxa" w:w="1452"/>
            <w:vAlign w:val="center"/>
            <w:shd w:fill="F3F7F9"/>
          </w:tcPr>
          <w:p>
            <w:r/>
            <w:r>
              <w:rPr>
                <w:rFonts w:ascii="Aptos" w:hAnsi="Aptos"/>
                <w:b w:val="0"/>
                <w:color w:val="17324D"/>
                <w:sz w:val="15"/>
              </w:rPr>
              <w:t>salesmonthly.csv</w:t>
            </w:r>
          </w:p>
        </w:tc>
        <w:tc>
          <w:tcPr>
            <w:tcW w:type="dxa" w:w="1452"/>
            <w:vAlign w:val="center"/>
            <w:shd w:fill="F3F7F9"/>
          </w:tcPr>
          <w:p>
            <w:r/>
            <w:r>
              <w:rPr>
                <w:rFonts w:ascii="Aptos" w:hAnsi="Aptos"/>
                <w:b w:val="0"/>
                <w:color w:val="17324D"/>
                <w:sz w:val="15"/>
              </w:rPr>
              <w:t>70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c>
          <w:tcPr>
            <w:tcW w:type="dxa" w:w="1452"/>
            <w:vAlign w:val="center"/>
            <w:shd w:fill="F3F7F9"/>
          </w:tcPr>
          <w:p>
            <w:r/>
            <w:r>
              <w:rPr>
                <w:rFonts w:ascii="Aptos" w:hAnsi="Aptos"/>
                <w:b w:val="0"/>
                <w:color w:val="17324D"/>
                <w:sz w:val="15"/>
              </w:rPr>
              <w:t>0</w:t>
            </w:r>
          </w:p>
        </w:tc>
      </w:tr>
    </w:tbl>
    <w:p>
      <w:pPr>
        <w:spacing w:after="0"/>
      </w:pPr>
    </w:p>
    <w:p>
      <w:r>
        <w:t>The daily file contains one continuous sequence of 2,106 dates. No imputation or duplicate deletion was required. Decimal values were preserved because the source had already been preprocessed and resampled.</w:t>
      </w:r>
    </w:p>
    <w:p>
      <w:pPr>
        <w:pStyle w:val="Heading2"/>
      </w:pPr>
      <w:r>
        <w:t>5.2 Why monthly results are derived from daily data</w:t>
      </w:r>
    </w:p>
    <w:p>
      <w:r>
        <w:t>Only 37 of 70 supplied monthly rows match daily aggregation within 0.01 across every category. Hourly totals reconcile with daily data within floating-point tolerance, and all 302 weekly rows reconcile when treated as weeks ending Sunday.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6048"/>
            <w:vAlign w:val="center"/>
            <w:shd w:fill="17324D"/>
          </w:tcPr>
          <w:p>
            <w:r/>
            <w:r>
              <w:rPr>
                <w:rFonts w:ascii="Aptos" w:hAnsi="Aptos"/>
                <w:b/>
                <w:color w:val="FFFFFF"/>
                <w:sz w:val="18"/>
              </w:rPr>
              <w:t>January 2017 check</w:t>
            </w:r>
          </w:p>
        </w:tc>
        <w:tc>
          <w:tcPr>
            <w:tcW w:type="dxa" w:w="3456"/>
            <w:vAlign w:val="center"/>
            <w:shd w:fill="17324D"/>
          </w:tcPr>
          <w:p>
            <w:r/>
            <w:r>
              <w:rPr>
                <w:rFonts w:ascii="Aptos" w:hAnsi="Aptos"/>
                <w:b/>
                <w:color w:val="FFFFFF"/>
                <w:sz w:val="18"/>
              </w:rPr>
              <w:t>Total quantity</w:t>
            </w:r>
          </w:p>
        </w:tc>
      </w:tr>
      <w:tr>
        <w:tc>
          <w:tcPr>
            <w:tcW w:type="dxa" w:w="6048"/>
            <w:vAlign w:val="center"/>
          </w:tcPr>
          <w:p>
            <w:r/>
            <w:r>
              <w:rPr>
                <w:rFonts w:ascii="Aptos" w:hAnsi="Aptos"/>
                <w:b w:val="0"/>
                <w:color w:val="17324D"/>
                <w:sz w:val="18"/>
              </w:rPr>
              <w:t>Supplied salesmonthly.csv</w:t>
            </w:r>
          </w:p>
        </w:tc>
        <w:tc>
          <w:tcPr>
            <w:tcW w:type="dxa" w:w="3456"/>
            <w:vAlign w:val="center"/>
          </w:tcPr>
          <w:p>
            <w:r/>
            <w:r>
              <w:rPr>
                <w:rFonts w:ascii="Aptos" w:hAnsi="Aptos"/>
                <w:b w:val="0"/>
                <w:color w:val="17324D"/>
                <w:sz w:val="18"/>
              </w:rPr>
              <w:t>1.00</w:t>
            </w:r>
          </w:p>
        </w:tc>
      </w:tr>
      <w:tr>
        <w:tc>
          <w:tcPr>
            <w:tcW w:type="dxa" w:w="6048"/>
            <w:vAlign w:val="center"/>
            <w:shd w:fill="F3F7F9"/>
          </w:tcPr>
          <w:p>
            <w:r/>
            <w:r>
              <w:rPr>
                <w:rFonts w:ascii="Aptos" w:hAnsi="Aptos"/>
                <w:b w:val="0"/>
                <w:color w:val="17324D"/>
                <w:sz w:val="18"/>
              </w:rPr>
              <w:t>Recalculated from salesdaily.csv</w:t>
            </w:r>
          </w:p>
        </w:tc>
        <w:tc>
          <w:tcPr>
            <w:tcW w:type="dxa" w:w="3456"/>
            <w:vAlign w:val="center"/>
            <w:shd w:fill="F3F7F9"/>
          </w:tcPr>
          <w:p>
            <w:r/>
            <w:r>
              <w:rPr>
                <w:rFonts w:ascii="Aptos" w:hAnsi="Aptos"/>
                <w:b w:val="0"/>
                <w:color w:val="17324D"/>
                <w:sz w:val="18"/>
              </w:rPr>
              <w:t>2,699.60</w:t>
            </w:r>
          </w:p>
        </w:tc>
      </w:tr>
      <w:tr>
        <w:tc>
          <w:tcPr>
            <w:tcW w:type="dxa" w:w="6048"/>
            <w:vAlign w:val="center"/>
          </w:tcPr>
          <w:p>
            <w:r/>
            <w:r>
              <w:rPr>
                <w:rFonts w:ascii="Aptos" w:hAnsi="Aptos"/>
                <w:b w:val="0"/>
                <w:color w:val="17324D"/>
                <w:sz w:val="18"/>
              </w:rPr>
              <w:t>Difference (supplied − derived)</w:t>
            </w:r>
          </w:p>
        </w:tc>
        <w:tc>
          <w:tcPr>
            <w:tcW w:type="dxa" w:w="3456"/>
            <w:vAlign w:val="center"/>
          </w:tcPr>
          <w:p>
            <w:r/>
            <w:r>
              <w:rPr>
                <w:rFonts w:ascii="Aptos" w:hAnsi="Aptos"/>
                <w:b w:val="0"/>
                <w:color w:val="17324D"/>
                <w:sz w:val="18"/>
              </w:rPr>
              <w:t>-2,698.60</w:t>
            </w:r>
          </w:p>
        </w:tc>
      </w:tr>
    </w:tbl>
    <w:p>
      <w:pPr>
        <w:spacing w:after="0"/>
      </w:pPr>
    </w:p>
    <w:p>
      <w:r>
        <w:t>This discrepancy is reported rather than silently corrected. The main monthly results use daily aggregation throughout, giving one consistent and reproducible rule.</w:t>
      </w:r>
    </w:p>
    <w:p>
      <w:pPr>
        <w:pStyle w:val="Heading2"/>
      </w:pPr>
      <w:r>
        <w:t>5.3 Partial-period handling</w:t>
      </w:r>
    </w:p>
    <w:p>
      <w:r>
        <w:t>January 2014 has 30 observed days because the series begins on 2 January. October 2019 has eight observed days because the series ends on 8 October. Both remain in overall daily totals, but they are excluded from complete-month trend rankings. The year 2019 is also labelled partial and must not be interpreted as a full-year decline.</w:t>
      </w:r>
    </w:p>
    <w:p>
      <w:pPr>
        <w:pStyle w:val="Heading1"/>
      </w:pPr>
      <w:r>
        <w:t>6. SQL Analytics</w:t>
      </w:r>
    </w:p>
    <w:p>
      <w:r>
        <w:t>The file `Task-1-SQL/pharma_sales_analysis.sql` contains a complete MySQL 8.0 workflow: database creation, text staging, quality checks, type conversion, a clean daily table, long and monthly views, and ten business-query sections. The student must change the LOAD DATA path and run it in MySQL to produce application evidence.</w:t>
      </w:r>
    </w:p>
    <w:p>
      <w:pPr>
        <w:pStyle w:val="Heading2"/>
      </w:pPr>
      <w:r>
        <w:t>6.1 Example overall query</w:t>
      </w:r>
    </w:p>
    <w:p>
      <w:r>
        <w:rPr>
          <w:rFonts w:ascii="Consolas" w:hAnsi="Consolas"/>
          <w:color w:val="7F3F00"/>
          <w:sz w:val="18"/>
        </w:rPr>
        <w:t>SELECT</w:t>
        <w:br/>
        <w:t xml:space="preserve">  ROUND(SUM(total_quantity), 2) AS total_sales_quantity,</w:t>
        <w:br/>
        <w:t xml:space="preserve">  ROUND(AVG(total_quantity), 2) AS average_daily_quantity</w:t>
        <w:br/>
        <w:t>FROM pharma_sales_daily;</w:t>
      </w:r>
    </w:p>
    <w:p>
      <w:pPr>
        <w:pStyle w:val="Heading2"/>
      </w:pPr>
      <w:r>
        <w:t>6.2 Calculated query results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4896"/>
            <w:vAlign w:val="center"/>
            <w:shd w:fill="17324D"/>
          </w:tcPr>
          <w:p>
            <w:r/>
            <w:r>
              <w:rPr>
                <w:rFonts w:ascii="Aptos" w:hAnsi="Aptos"/>
                <w:b/>
                <w:color w:val="FFFFFF"/>
                <w:sz w:val="18"/>
              </w:rPr>
              <w:t>Metric</w:t>
            </w:r>
          </w:p>
        </w:tc>
        <w:tc>
          <w:tcPr>
            <w:tcW w:type="dxa" w:w="4752"/>
            <w:vAlign w:val="center"/>
            <w:shd w:fill="17324D"/>
          </w:tcPr>
          <w:p>
            <w:r/>
            <w:r>
              <w:rPr>
                <w:rFonts w:ascii="Aptos" w:hAnsi="Aptos"/>
                <w:b/>
                <w:color w:val="FFFFFF"/>
                <w:sz w:val="18"/>
              </w:rPr>
              <w:t>Result</w:t>
            </w:r>
          </w:p>
        </w:tc>
      </w:tr>
      <w:tr>
        <w:tc>
          <w:tcPr>
            <w:tcW w:type="dxa" w:w="4896"/>
            <w:vAlign w:val="center"/>
          </w:tcPr>
          <w:p>
            <w:r/>
            <w:r>
              <w:rPr>
                <w:rFonts w:ascii="Aptos" w:hAnsi="Aptos"/>
                <w:b w:val="0"/>
                <w:color w:val="17324D"/>
                <w:sz w:val="18"/>
              </w:rPr>
              <w:t>Total quantity</w:t>
            </w:r>
          </w:p>
        </w:tc>
        <w:tc>
          <w:tcPr>
            <w:tcW w:type="dxa" w:w="4752"/>
            <w:vAlign w:val="center"/>
          </w:tcPr>
          <w:p>
            <w:r/>
            <w:r>
              <w:rPr>
                <w:rFonts w:ascii="Aptos" w:hAnsi="Aptos"/>
                <w:b w:val="0"/>
                <w:color w:val="17324D"/>
                <w:sz w:val="18"/>
              </w:rPr>
              <w:t>127,595.50</w:t>
            </w:r>
          </w:p>
        </w:tc>
      </w:tr>
      <w:tr>
        <w:tc>
          <w:tcPr>
            <w:tcW w:type="dxa" w:w="4896"/>
            <w:vAlign w:val="center"/>
            <w:shd w:fill="F3F7F9"/>
          </w:tcPr>
          <w:p>
            <w:r/>
            <w:r>
              <w:rPr>
                <w:rFonts w:ascii="Aptos" w:hAnsi="Aptos"/>
                <w:b w:val="0"/>
                <w:color w:val="17324D"/>
                <w:sz w:val="18"/>
              </w:rPr>
              <w:t>Average daily quantity</w:t>
            </w:r>
          </w:p>
        </w:tc>
        <w:tc>
          <w:tcPr>
            <w:tcW w:type="dxa" w:w="4752"/>
            <w:vAlign w:val="center"/>
            <w:shd w:fill="F3F7F9"/>
          </w:tcPr>
          <w:p>
            <w:r/>
            <w:r>
              <w:rPr>
                <w:rFonts w:ascii="Aptos" w:hAnsi="Aptos"/>
                <w:b w:val="0"/>
                <w:color w:val="17324D"/>
                <w:sz w:val="18"/>
              </w:rPr>
              <w:t>60.59</w:t>
            </w:r>
          </w:p>
        </w:tc>
      </w:tr>
      <w:tr>
        <w:tc>
          <w:tcPr>
            <w:tcW w:type="dxa" w:w="4896"/>
            <w:vAlign w:val="center"/>
          </w:tcPr>
          <w:p>
            <w:r/>
            <w:r>
              <w:rPr>
                <w:rFonts w:ascii="Aptos" w:hAnsi="Aptos"/>
                <w:b w:val="0"/>
                <w:color w:val="17324D"/>
                <w:sz w:val="18"/>
              </w:rPr>
              <w:t>Median daily quantity</w:t>
            </w:r>
          </w:p>
        </w:tc>
        <w:tc>
          <w:tcPr>
            <w:tcW w:type="dxa" w:w="4752"/>
            <w:vAlign w:val="center"/>
          </w:tcPr>
          <w:p>
            <w:r/>
            <w:r>
              <w:rPr>
                <w:rFonts w:ascii="Aptos" w:hAnsi="Aptos"/>
                <w:b w:val="0"/>
                <w:color w:val="17324D"/>
                <w:sz w:val="18"/>
              </w:rPr>
              <w:t>58.47</w:t>
            </w:r>
          </w:p>
        </w:tc>
      </w:tr>
      <w:tr>
        <w:tc>
          <w:tcPr>
            <w:tcW w:type="dxa" w:w="4896"/>
            <w:vAlign w:val="center"/>
            <w:shd w:fill="F3F7F9"/>
          </w:tcPr>
          <w:p>
            <w:r/>
            <w:r>
              <w:rPr>
                <w:rFonts w:ascii="Aptos" w:hAnsi="Aptos"/>
                <w:b w:val="0"/>
                <w:color w:val="17324D"/>
                <w:sz w:val="18"/>
              </w:rPr>
              <w:t>Peak daily quantity</w:t>
            </w:r>
          </w:p>
        </w:tc>
        <w:tc>
          <w:tcPr>
            <w:tcW w:type="dxa" w:w="4752"/>
            <w:vAlign w:val="center"/>
            <w:shd w:fill="F3F7F9"/>
          </w:tcPr>
          <w:p>
            <w:r/>
            <w:r>
              <w:rPr>
                <w:rFonts w:ascii="Aptos" w:hAnsi="Aptos"/>
                <w:b w:val="0"/>
                <w:color w:val="17324D"/>
                <w:sz w:val="18"/>
              </w:rPr>
              <w:t>198.95 (2016-12-30)</w:t>
            </w:r>
          </w:p>
        </w:tc>
      </w:tr>
      <w:tr>
        <w:tc>
          <w:tcPr>
            <w:tcW w:type="dxa" w:w="4896"/>
            <w:vAlign w:val="center"/>
          </w:tcPr>
          <w:p>
            <w:r/>
            <w:r>
              <w:rPr>
                <w:rFonts w:ascii="Aptos" w:hAnsi="Aptos"/>
                <w:b w:val="0"/>
                <w:color w:val="17324D"/>
                <w:sz w:val="18"/>
              </w:rPr>
              <w:t>N02BE total / share</w:t>
            </w:r>
          </w:p>
        </w:tc>
        <w:tc>
          <w:tcPr>
            <w:tcW w:type="dxa" w:w="4752"/>
            <w:vAlign w:val="center"/>
          </w:tcPr>
          <w:p>
            <w:r/>
            <w:r>
              <w:rPr>
                <w:rFonts w:ascii="Aptos" w:hAnsi="Aptos"/>
                <w:b w:val="0"/>
                <w:color w:val="17324D"/>
                <w:sz w:val="18"/>
              </w:rPr>
              <w:t>63,005.40 / 49.38%</w:t>
            </w:r>
          </w:p>
        </w:tc>
      </w:tr>
    </w:tbl>
    <w:p>
      <w:pPr>
        <w:spacing w:after="0"/>
      </w:pPr>
    </w:p>
    <w:p>
      <w:r>
        <w:t>Additional result CSVs cover category contribution, monthly trend, complete-month ranking, annual coverage, weekday patterns and the ten highest days. These tables were calculated from the supplied CSVs using the same business logic; they are not claimed as screenshots of a MySQL run.</w:t>
      </w:r>
    </w:p>
    <w:p>
      <w:pPr>
        <w:pStyle w:val="Heading1"/>
      </w:pPr>
      <w:r>
        <w:t>7. Excel Analysis and Dashboard</w:t>
      </w:r>
    </w:p>
    <w:p>
      <w:r>
        <w:t>The workbook `Pharma_Sales_Analysis.xlsx` includes raw, clean and long data; data-quality evidence; formula examples; monthly/category/weekday summaries; and a dashboard with Year and Category selectors. Formula cells include cached initial values and should be recalculated in desktop Excel.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584"/>
            <w:vAlign w:val="center"/>
            <w:shd w:fill="17324D"/>
          </w:tcPr>
          <w:p>
            <w:r/>
            <w:r>
              <w:rPr>
                <w:rFonts w:ascii="Aptos" w:hAnsi="Aptos"/>
                <w:b/>
                <w:color w:val="FFFFFF"/>
                <w:sz w:val="17"/>
              </w:rPr>
              <w:t>Excel function</w:t>
            </w:r>
          </w:p>
        </w:tc>
        <w:tc>
          <w:tcPr>
            <w:tcW w:type="dxa" w:w="4752"/>
            <w:vAlign w:val="center"/>
            <w:shd w:fill="17324D"/>
          </w:tcPr>
          <w:p>
            <w:r/>
            <w:r>
              <w:rPr>
                <w:rFonts w:ascii="Aptos" w:hAnsi="Aptos"/>
                <w:b/>
                <w:color w:val="FFFFFF"/>
                <w:sz w:val="17"/>
              </w:rPr>
              <w:t>Project example</w:t>
            </w:r>
          </w:p>
        </w:tc>
        <w:tc>
          <w:tcPr>
            <w:tcW w:type="dxa" w:w="3744"/>
            <w:vAlign w:val="center"/>
            <w:shd w:fill="17324D"/>
          </w:tcPr>
          <w:p>
            <w:r/>
            <w:r>
              <w:rPr>
                <w:rFonts w:ascii="Aptos" w:hAnsi="Aptos"/>
                <w:b/>
                <w:color w:val="FFFFFF"/>
                <w:sz w:val="17"/>
              </w:rPr>
              <w:t>Business use</w:t>
            </w:r>
          </w:p>
        </w:tc>
      </w:tr>
      <w:tr>
        <w:tc>
          <w:tcPr>
            <w:tcW w:type="dxa" w:w="1584"/>
            <w:vAlign w:val="center"/>
          </w:tcPr>
          <w:p>
            <w:r/>
            <w:r>
              <w:rPr>
                <w:rFonts w:ascii="Aptos" w:hAnsi="Aptos"/>
                <w:b w:val="0"/>
                <w:color w:val="17324D"/>
                <w:sz w:val="17"/>
              </w:rPr>
              <w:t>SUM</w:t>
            </w:r>
          </w:p>
        </w:tc>
        <w:tc>
          <w:tcPr>
            <w:tcW w:type="dxa" w:w="4752"/>
            <w:vAlign w:val="center"/>
          </w:tcPr>
          <w:p>
            <w:r/>
            <w:r>
              <w:rPr>
                <w:rFonts w:ascii="Aptos" w:hAnsi="Aptos"/>
                <w:b w:val="0"/>
                <w:color w:val="17324D"/>
                <w:sz w:val="17"/>
              </w:rPr>
              <w:t>Sum all daily Total_Quantity values</w:t>
            </w:r>
          </w:p>
        </w:tc>
        <w:tc>
          <w:tcPr>
            <w:tcW w:type="dxa" w:w="3744"/>
            <w:vAlign w:val="center"/>
          </w:tcPr>
          <w:p>
            <w:r/>
            <w:r>
              <w:rPr>
                <w:rFonts w:ascii="Aptos" w:hAnsi="Aptos"/>
                <w:b w:val="0"/>
                <w:color w:val="17324D"/>
                <w:sz w:val="17"/>
              </w:rPr>
              <w:t>Overall and category totals</w:t>
            </w:r>
          </w:p>
        </w:tc>
      </w:tr>
      <w:tr>
        <w:tc>
          <w:tcPr>
            <w:tcW w:type="dxa" w:w="1584"/>
            <w:vAlign w:val="center"/>
            <w:shd w:fill="F3F7F9"/>
          </w:tcPr>
          <w:p>
            <w:r/>
            <w:r>
              <w:rPr>
                <w:rFonts w:ascii="Aptos" w:hAnsi="Aptos"/>
                <w:b w:val="0"/>
                <w:color w:val="17324D"/>
                <w:sz w:val="17"/>
              </w:rPr>
              <w:t>AVERAGE</w:t>
            </w:r>
          </w:p>
        </w:tc>
        <w:tc>
          <w:tcPr>
            <w:tcW w:type="dxa" w:w="4752"/>
            <w:vAlign w:val="center"/>
            <w:shd w:fill="F3F7F9"/>
          </w:tcPr>
          <w:p>
            <w:r/>
            <w:r>
              <w:rPr>
                <w:rFonts w:ascii="Aptos" w:hAnsi="Aptos"/>
                <w:b w:val="0"/>
                <w:color w:val="17324D"/>
                <w:sz w:val="17"/>
              </w:rPr>
              <w:t>Average daily Total_Quantity</w:t>
            </w:r>
          </w:p>
        </w:tc>
        <w:tc>
          <w:tcPr>
            <w:tcW w:type="dxa" w:w="3744"/>
            <w:vAlign w:val="center"/>
            <w:shd w:fill="F3F7F9"/>
          </w:tcPr>
          <w:p>
            <w:r/>
            <w:r>
              <w:rPr>
                <w:rFonts w:ascii="Aptos" w:hAnsi="Aptos"/>
                <w:b w:val="0"/>
                <w:color w:val="17324D"/>
                <w:sz w:val="17"/>
              </w:rPr>
              <w:t>Typical arithmetic mean per observed day</w:t>
            </w:r>
          </w:p>
        </w:tc>
      </w:tr>
      <w:tr>
        <w:tc>
          <w:tcPr>
            <w:tcW w:type="dxa" w:w="1584"/>
            <w:vAlign w:val="center"/>
          </w:tcPr>
          <w:p>
            <w:r/>
            <w:r>
              <w:rPr>
                <w:rFonts w:ascii="Aptos" w:hAnsi="Aptos"/>
                <w:b w:val="0"/>
                <w:color w:val="17324D"/>
                <w:sz w:val="17"/>
              </w:rPr>
              <w:t>COUNTIF</w:t>
            </w:r>
          </w:p>
        </w:tc>
        <w:tc>
          <w:tcPr>
            <w:tcW w:type="dxa" w:w="4752"/>
            <w:vAlign w:val="center"/>
          </w:tcPr>
          <w:p>
            <w:r/>
            <w:r>
              <w:rPr>
                <w:rFonts w:ascii="Aptos" w:hAnsi="Aptos"/>
                <w:b w:val="0"/>
                <w:color w:val="17324D"/>
                <w:sz w:val="17"/>
              </w:rPr>
              <w:t>Count N05C days where quantity = 0</w:t>
            </w:r>
          </w:p>
        </w:tc>
        <w:tc>
          <w:tcPr>
            <w:tcW w:type="dxa" w:w="3744"/>
            <w:vAlign w:val="center"/>
          </w:tcPr>
          <w:p>
            <w:r/>
            <w:r>
              <w:rPr>
                <w:rFonts w:ascii="Aptos" w:hAnsi="Aptos"/>
                <w:b w:val="0"/>
                <w:color w:val="17324D"/>
                <w:sz w:val="17"/>
              </w:rPr>
              <w:t>Intermittent-demand check</w:t>
            </w:r>
          </w:p>
        </w:tc>
      </w:tr>
      <w:tr>
        <w:tc>
          <w:tcPr>
            <w:tcW w:type="dxa" w:w="1584"/>
            <w:vAlign w:val="center"/>
            <w:shd w:fill="F3F7F9"/>
          </w:tcPr>
          <w:p>
            <w:r/>
            <w:r>
              <w:rPr>
                <w:rFonts w:ascii="Aptos" w:hAnsi="Aptos"/>
                <w:b w:val="0"/>
                <w:color w:val="17324D"/>
                <w:sz w:val="17"/>
              </w:rPr>
              <w:t>SUMIFS</w:t>
            </w:r>
          </w:p>
        </w:tc>
        <w:tc>
          <w:tcPr>
            <w:tcW w:type="dxa" w:w="4752"/>
            <w:vAlign w:val="center"/>
            <w:shd w:fill="F3F7F9"/>
          </w:tcPr>
          <w:p>
            <w:r/>
            <w:r>
              <w:rPr>
                <w:rFonts w:ascii="Aptos" w:hAnsi="Aptos"/>
                <w:b w:val="0"/>
                <w:color w:val="17324D"/>
                <w:sz w:val="17"/>
              </w:rPr>
              <w:t>Sum Total_Quantity where Year = 2019 and Month = 1</w:t>
            </w:r>
          </w:p>
        </w:tc>
        <w:tc>
          <w:tcPr>
            <w:tcW w:type="dxa" w:w="3744"/>
            <w:vAlign w:val="center"/>
            <w:shd w:fill="F3F7F9"/>
          </w:tcPr>
          <w:p>
            <w:r/>
            <w:r>
              <w:rPr>
                <w:rFonts w:ascii="Aptos" w:hAnsi="Aptos"/>
                <w:b w:val="0"/>
                <w:color w:val="17324D"/>
                <w:sz w:val="17"/>
              </w:rPr>
              <w:t>Conditional monthly total</w:t>
            </w:r>
          </w:p>
        </w:tc>
      </w:tr>
    </w:tbl>
    <w:p>
      <w:pPr>
        <w:spacing w:after="0"/>
      </w:pPr>
    </w:p>
    <w:p>
      <w:r>
        <w:t>The dashboard’s drop-down cells recalculate KPI cards and charts. With both selectors set to All, expected checks are Total Quantity 127,595.50, Average Daily Quantity 60.59 and Days in Selection 2,106.</w:t>
      </w:r>
    </w:p>
    <w:tbl>
      <w:tblPr>
        <w:tblW w:type="auto" w:w="0"/>
        <w:jc w:val="center"/>
        <w:tblLook w:firstColumn="1" w:firstRow="1" w:lastColumn="0" w:lastRow="0" w:noHBand="0" w:noVBand="1" w:val="04A0"/>
      </w:tblPr>
      <w:tblGrid>
        <w:gridCol w:w="10166"/>
      </w:tblGrid>
      <w:tr>
        <w:tc>
          <w:tcPr>
            <w:tcW w:type="dxa" w:w="10166"/>
            <w:shd w:fill="FFF2CC"/>
            <w:vAlign w:val="center"/>
          </w:tcPr>
          <w:p>
            <w:pPr>
              <w:spacing w:after="80" w:before="80"/>
            </w:pPr>
            <w:r/>
            <w:r>
              <w:rPr>
                <w:rFonts w:ascii="Aptos" w:hAnsi="Aptos"/>
                <w:b w:val="0"/>
                <w:color w:val="7F4F00"/>
                <w:sz w:val="18"/>
              </w:rPr>
              <w:t>Excel evidence still to finish: open and validate the workbook, insert native PivotTable objects if your mentor requires them, and capture actual Excel application screenshots. The supplied pivot-style summary sheets and generated chart previews are not mislabelled as native PivotTables or screenshots.</w:t>
            </w:r>
          </w:p>
        </w:tc>
      </w:tr>
    </w:tbl>
    <w:p>
      <w:pPr>
        <w:spacing w:after="0"/>
      </w:pPr>
    </w:p>
    <w:p>
      <w:pPr>
        <w:pStyle w:val="Heading1"/>
      </w:pPr>
      <w:r>
        <w:t>8. Power BI and Tableau Dashboard Design</w:t>
      </w:r>
    </w:p>
    <w:p>
      <w:r>
        <w:t>Both BI tools use `pharma_sales_long.csv`, which has 16,848 rows (2,106 dates × 8 categories). The long shape allows one ATC_Category filter to control category and time visuals. Power BI uses a separate Date table and DAX measures; Tableau uses aggregate calculated fields and worksheet filters.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vAlign w:val="center"/>
            <w:shd w:fill="17324D"/>
          </w:tcPr>
          <w:p>
            <w:r/>
            <w:r>
              <w:rPr>
                <w:rFonts w:ascii="Aptos" w:hAnsi="Aptos"/>
                <w:b/>
                <w:color w:val="FFFFFF"/>
                <w:sz w:val="17"/>
              </w:rPr>
              <w:t>Dashboard element</w:t>
            </w:r>
          </w:p>
        </w:tc>
        <w:tc>
          <w:tcPr>
            <w:tcW w:type="dxa" w:w="7200"/>
            <w:vAlign w:val="center"/>
            <w:shd w:fill="17324D"/>
          </w:tcPr>
          <w:p>
            <w:r/>
            <w:r>
              <w:rPr>
                <w:rFonts w:ascii="Aptos" w:hAnsi="Aptos"/>
                <w:b/>
                <w:color w:val="FFFFFF"/>
                <w:sz w:val="17"/>
              </w:rPr>
              <w:t>Recommended field / measure</w:t>
            </w:r>
          </w:p>
        </w:tc>
      </w:tr>
      <w:tr>
        <w:tc>
          <w:tcPr>
            <w:tcW w:type="dxa" w:w="2880"/>
            <w:vAlign w:val="center"/>
          </w:tcPr>
          <w:p>
            <w:r/>
            <w:r>
              <w:rPr>
                <w:rFonts w:ascii="Aptos" w:hAnsi="Aptos"/>
                <w:b w:val="0"/>
                <w:color w:val="17324D"/>
                <w:sz w:val="17"/>
              </w:rPr>
              <w:t>KPI cards</w:t>
            </w:r>
          </w:p>
        </w:tc>
        <w:tc>
          <w:tcPr>
            <w:tcW w:type="dxa" w:w="7200"/>
            <w:vAlign w:val="center"/>
          </w:tcPr>
          <w:p>
            <w:r/>
            <w:r>
              <w:rPr>
                <w:rFonts w:ascii="Aptos" w:hAnsi="Aptos"/>
                <w:b w:val="0"/>
                <w:color w:val="17324D"/>
                <w:sz w:val="17"/>
              </w:rPr>
              <w:t>Total Quantity, Average Daily Quantity, Peak Daily Quantity</w:t>
            </w:r>
          </w:p>
        </w:tc>
      </w:tr>
      <w:tr>
        <w:tc>
          <w:tcPr>
            <w:tcW w:type="dxa" w:w="2880"/>
            <w:vAlign w:val="center"/>
            <w:shd w:fill="F3F7F9"/>
          </w:tcPr>
          <w:p>
            <w:r/>
            <w:r>
              <w:rPr>
                <w:rFonts w:ascii="Aptos" w:hAnsi="Aptos"/>
                <w:b w:val="0"/>
                <w:color w:val="17324D"/>
                <w:sz w:val="17"/>
              </w:rPr>
              <w:t>Monthly line chart</w:t>
            </w:r>
          </w:p>
        </w:tc>
        <w:tc>
          <w:tcPr>
            <w:tcW w:type="dxa" w:w="7200"/>
            <w:vAlign w:val="center"/>
            <w:shd w:fill="F3F7F9"/>
          </w:tcPr>
          <w:p>
            <w:r/>
            <w:r>
              <w:rPr>
                <w:rFonts w:ascii="Aptos" w:hAnsi="Aptos"/>
                <w:b w:val="0"/>
                <w:color w:val="17324D"/>
                <w:sz w:val="17"/>
              </w:rPr>
              <w:t>Month Start + Total Quantity; visual-level complete-month filter</w:t>
            </w:r>
          </w:p>
        </w:tc>
      </w:tr>
      <w:tr>
        <w:tc>
          <w:tcPr>
            <w:tcW w:type="dxa" w:w="2880"/>
            <w:vAlign w:val="center"/>
          </w:tcPr>
          <w:p>
            <w:r/>
            <w:r>
              <w:rPr>
                <w:rFonts w:ascii="Aptos" w:hAnsi="Aptos"/>
                <w:b w:val="0"/>
                <w:color w:val="17324D"/>
                <w:sz w:val="17"/>
              </w:rPr>
              <w:t>Category bar chart</w:t>
            </w:r>
          </w:p>
        </w:tc>
        <w:tc>
          <w:tcPr>
            <w:tcW w:type="dxa" w:w="7200"/>
            <w:vAlign w:val="center"/>
          </w:tcPr>
          <w:p>
            <w:r/>
            <w:r>
              <w:rPr>
                <w:rFonts w:ascii="Aptos" w:hAnsi="Aptos"/>
                <w:b w:val="0"/>
                <w:color w:val="17324D"/>
                <w:sz w:val="17"/>
              </w:rPr>
              <w:t>ATC_Category + Total Quantity; sort descending</w:t>
            </w:r>
          </w:p>
        </w:tc>
      </w:tr>
      <w:tr>
        <w:tc>
          <w:tcPr>
            <w:tcW w:type="dxa" w:w="2880"/>
            <w:vAlign w:val="center"/>
            <w:shd w:fill="F3F7F9"/>
          </w:tcPr>
          <w:p>
            <w:r/>
            <w:r>
              <w:rPr>
                <w:rFonts w:ascii="Aptos" w:hAnsi="Aptos"/>
                <w:b w:val="0"/>
                <w:color w:val="17324D"/>
                <w:sz w:val="17"/>
              </w:rPr>
              <w:t>Weekday column chart</w:t>
            </w:r>
          </w:p>
        </w:tc>
        <w:tc>
          <w:tcPr>
            <w:tcW w:type="dxa" w:w="7200"/>
            <w:vAlign w:val="center"/>
            <w:shd w:fill="F3F7F9"/>
          </w:tcPr>
          <w:p>
            <w:r/>
            <w:r>
              <w:rPr>
                <w:rFonts w:ascii="Aptos" w:hAnsi="Aptos"/>
                <w:b w:val="0"/>
                <w:color w:val="17324D"/>
                <w:sz w:val="17"/>
              </w:rPr>
              <w:t>Weekday + Average Daily Quantity; sort Monday–Sunday</w:t>
            </w:r>
          </w:p>
        </w:tc>
      </w:tr>
      <w:tr>
        <w:tc>
          <w:tcPr>
            <w:tcW w:type="dxa" w:w="2880"/>
            <w:vAlign w:val="center"/>
          </w:tcPr>
          <w:p>
            <w:r/>
            <w:r>
              <w:rPr>
                <w:rFonts w:ascii="Aptos" w:hAnsi="Aptos"/>
                <w:b w:val="0"/>
                <w:color w:val="17324D"/>
                <w:sz w:val="17"/>
              </w:rPr>
              <w:t>Filters</w:t>
            </w:r>
          </w:p>
        </w:tc>
        <w:tc>
          <w:tcPr>
            <w:tcW w:type="dxa" w:w="7200"/>
            <w:vAlign w:val="center"/>
          </w:tcPr>
          <w:p>
            <w:r/>
            <w:r>
              <w:rPr>
                <w:rFonts w:ascii="Aptos" w:hAnsi="Aptos"/>
                <w:b w:val="0"/>
                <w:color w:val="17324D"/>
                <w:sz w:val="17"/>
              </w:rPr>
              <w:t>Year and ATC_Category; optional Weekday</w:t>
            </w:r>
          </w:p>
        </w:tc>
      </w:tr>
    </w:tbl>
    <w:p>
      <w:pPr>
        <w:spacing w:after="0"/>
      </w:pPr>
    </w:p>
    <w:p>
      <w:pPr>
        <w:jc w:val="center"/>
      </w:pPr>
      <w:r>
        <w:drawing>
          <wp:inline xmlns:a="http://schemas.openxmlformats.org/drawingml/2006/main" xmlns:pic="http://schemas.openxmlformats.org/drawingml/2006/picture">
            <wp:extent cx="6400800" cy="3950390"/>
            <wp:docPr id="1" name="Picture 1"/>
            <wp:cNvGraphicFramePr>
              <a:graphicFrameLocks noChangeAspect="1"/>
            </wp:cNvGraphicFramePr>
            <a:graphic>
              <a:graphicData uri="http://schemas.openxmlformats.org/drawingml/2006/picture">
                <pic:pic>
                  <pic:nvPicPr>
                    <pic:cNvPr id="0" name="00_Dashboard_Generated_Preview.png"/>
                    <pic:cNvPicPr/>
                  </pic:nvPicPr>
                  <pic:blipFill>
                    <a:blip r:embed="rId11"/>
                    <a:stretch>
                      <a:fillRect/>
                    </a:stretch>
                  </pic:blipFill>
                  <pic:spPr>
                    <a:xfrm>
                      <a:off x="0" y="0"/>
                      <a:ext cx="6400800" cy="3950390"/>
                    </a:xfrm>
                    <a:prstGeom prst="rect"/>
                  </pic:spPr>
                </pic:pic>
              </a:graphicData>
            </a:graphic>
          </wp:inline>
        </w:drawing>
      </w:r>
    </w:p>
    <w:p>
      <w:pPr>
        <w:spacing w:after="160"/>
        <w:jc w:val="center"/>
      </w:pPr>
      <w:r>
        <w:rPr>
          <w:i/>
          <w:color w:val="526777"/>
          <w:sz w:val="16"/>
        </w:rPr>
        <w:t>Figure 1. Generated analytical layout preview. This is not an Excel, Power BI, Tableau or MySQL application screenshot.</w:t>
      </w:r>
    </w:p>
    <w:tbl>
      <w:tblPr>
        <w:tblW w:type="auto" w:w="0"/>
        <w:jc w:val="center"/>
        <w:tblLook w:firstColumn="1" w:firstRow="1" w:lastColumn="0" w:lastRow="0" w:noHBand="0" w:noVBand="1" w:val="04A0"/>
      </w:tblPr>
      <w:tblGrid>
        <w:gridCol w:w="10166"/>
      </w:tblGrid>
      <w:tr>
        <w:tc>
          <w:tcPr>
            <w:tcW w:type="dxa" w:w="10166"/>
            <w:shd w:fill="FFF2CC"/>
            <w:vAlign w:val="center"/>
          </w:tcPr>
          <w:p>
            <w:pPr>
              <w:spacing w:after="80" w:before="80"/>
            </w:pPr>
            <w:r/>
            <w:r>
              <w:rPr>
                <w:rFonts w:ascii="Aptos" w:hAnsi="Aptos"/>
                <w:b w:val="0"/>
                <w:color w:val="7F4F00"/>
                <w:sz w:val="18"/>
              </w:rPr>
              <w:t>The actual Pharma_Sales_Dashboard.pbix and Pharma_Sales_Dashboard.twbx files remain to be created in their respective applications. Detailed build guides, DAX and Tableau calculated fields are supplied.</w:t>
            </w:r>
          </w:p>
        </w:tc>
      </w:tr>
    </w:tbl>
    <w:p>
      <w:pPr>
        <w:spacing w:after="0"/>
      </w:pPr>
    </w:p>
    <w:p>
      <w:pPr>
        <w:pStyle w:val="Heading1"/>
      </w:pPr>
      <w:r>
        <w:t>9. Exploratory Data Analysis and Findings</w:t>
      </w:r>
    </w:p>
    <w:p>
      <w:pPr>
        <w:pStyle w:val="Heading2"/>
      </w:pPr>
      <w:r>
        <w:t>9.1 Category contribution</w:t>
      </w:r>
    </w:p>
    <w:p>
      <w:pPr>
        <w:jc w:val="center"/>
      </w:pPr>
      <w:r>
        <w:drawing>
          <wp:inline xmlns:a="http://schemas.openxmlformats.org/drawingml/2006/main" xmlns:pic="http://schemas.openxmlformats.org/drawingml/2006/picture">
            <wp:extent cx="6309360" cy="3690090"/>
            <wp:docPr id="2" name="Picture 2"/>
            <wp:cNvGraphicFramePr>
              <a:graphicFrameLocks noChangeAspect="1"/>
            </wp:cNvGraphicFramePr>
            <a:graphic>
              <a:graphicData uri="http://schemas.openxmlformats.org/drawingml/2006/picture">
                <pic:pic>
                  <pic:nvPicPr>
                    <pic:cNvPr id="0" name="02_Sales_by_ATC_Category.png"/>
                    <pic:cNvPicPr/>
                  </pic:nvPicPr>
                  <pic:blipFill>
                    <a:blip r:embed="rId12"/>
                    <a:stretch>
                      <a:fillRect/>
                    </a:stretch>
                  </pic:blipFill>
                  <pic:spPr>
                    <a:xfrm>
                      <a:off x="0" y="0"/>
                      <a:ext cx="6309360" cy="3690090"/>
                    </a:xfrm>
                    <a:prstGeom prst="rect"/>
                  </pic:spPr>
                </pic:pic>
              </a:graphicData>
            </a:graphic>
          </wp:inline>
        </w:drawing>
      </w:r>
    </w:p>
    <w:p>
      <w:pPr>
        <w:spacing w:after="160"/>
        <w:jc w:val="center"/>
      </w:pPr>
      <w:r>
        <w:rPr>
          <w:i/>
          <w:color w:val="526777"/>
          <w:sz w:val="16"/>
        </w:rPr>
        <w:t>Figure 2. Total recorded quantity and percentage share by ATC category.</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shd w:fill="17324D"/>
          </w:tcPr>
          <w:p>
            <w:r/>
            <w:r>
              <w:rPr>
                <w:rFonts w:ascii="Aptos" w:hAnsi="Aptos"/>
                <w:b/>
                <w:color w:val="FFFFFF"/>
                <w:sz w:val="16"/>
              </w:rPr>
              <w:t>Rank</w:t>
            </w:r>
          </w:p>
        </w:tc>
        <w:tc>
          <w:tcPr>
            <w:tcW w:type="dxa" w:w="1694"/>
            <w:vAlign w:val="center"/>
            <w:shd w:fill="17324D"/>
          </w:tcPr>
          <w:p>
            <w:r/>
            <w:r>
              <w:rPr>
                <w:rFonts w:ascii="Aptos" w:hAnsi="Aptos"/>
                <w:b/>
                <w:color w:val="FFFFFF"/>
                <w:sz w:val="16"/>
              </w:rPr>
              <w:t>ATC</w:t>
            </w:r>
          </w:p>
        </w:tc>
        <w:tc>
          <w:tcPr>
            <w:tcW w:type="dxa" w:w="1694"/>
            <w:vAlign w:val="center"/>
            <w:shd w:fill="17324D"/>
          </w:tcPr>
          <w:p>
            <w:r/>
            <w:r>
              <w:rPr>
                <w:rFonts w:ascii="Aptos" w:hAnsi="Aptos"/>
                <w:b/>
                <w:color w:val="FFFFFF"/>
                <w:sz w:val="16"/>
              </w:rPr>
              <w:t>Total quantity</w:t>
            </w:r>
          </w:p>
        </w:tc>
        <w:tc>
          <w:tcPr>
            <w:tcW w:type="dxa" w:w="1694"/>
            <w:vAlign w:val="center"/>
            <w:shd w:fill="17324D"/>
          </w:tcPr>
          <w:p>
            <w:r/>
            <w:r>
              <w:rPr>
                <w:rFonts w:ascii="Aptos" w:hAnsi="Aptos"/>
                <w:b/>
                <w:color w:val="FFFFFF"/>
                <w:sz w:val="16"/>
              </w:rPr>
              <w:t>Share</w:t>
            </w:r>
          </w:p>
        </w:tc>
        <w:tc>
          <w:tcPr>
            <w:tcW w:type="dxa" w:w="1694"/>
            <w:vAlign w:val="center"/>
            <w:shd w:fill="17324D"/>
          </w:tcPr>
          <w:p>
            <w:r/>
            <w:r>
              <w:rPr>
                <w:rFonts w:ascii="Aptos" w:hAnsi="Aptos"/>
                <w:b/>
                <w:color w:val="FFFFFF"/>
                <w:sz w:val="16"/>
              </w:rPr>
              <w:t>Average/day</w:t>
            </w:r>
          </w:p>
        </w:tc>
        <w:tc>
          <w:tcPr>
            <w:tcW w:type="dxa" w:w="1694"/>
            <w:vAlign w:val="center"/>
            <w:shd w:fill="17324D"/>
          </w:tcPr>
          <w:p>
            <w:r/>
            <w:r>
              <w:rPr>
                <w:rFonts w:ascii="Aptos" w:hAnsi="Aptos"/>
                <w:b/>
                <w:color w:val="FFFFFF"/>
                <w:sz w:val="16"/>
              </w:rPr>
              <w:t>Zero days</w:t>
            </w:r>
          </w:p>
        </w:tc>
      </w:tr>
      <w:tr>
        <w:tc>
          <w:tcPr>
            <w:tcW w:type="dxa" w:w="1694"/>
            <w:vAlign w:val="center"/>
          </w:tcPr>
          <w:p>
            <w:r/>
            <w:r>
              <w:rPr>
                <w:rFonts w:ascii="Aptos" w:hAnsi="Aptos"/>
                <w:b w:val="0"/>
                <w:color w:val="17324D"/>
                <w:sz w:val="16"/>
              </w:rPr>
              <w:t>1</w:t>
            </w:r>
          </w:p>
        </w:tc>
        <w:tc>
          <w:tcPr>
            <w:tcW w:type="dxa" w:w="1694"/>
            <w:vAlign w:val="center"/>
          </w:tcPr>
          <w:p>
            <w:r/>
            <w:r>
              <w:rPr>
                <w:rFonts w:ascii="Aptos" w:hAnsi="Aptos"/>
                <w:b w:val="0"/>
                <w:color w:val="17324D"/>
                <w:sz w:val="16"/>
              </w:rPr>
              <w:t>N02BE</w:t>
            </w:r>
          </w:p>
        </w:tc>
        <w:tc>
          <w:tcPr>
            <w:tcW w:type="dxa" w:w="1694"/>
            <w:vAlign w:val="center"/>
          </w:tcPr>
          <w:p>
            <w:r/>
            <w:r>
              <w:rPr>
                <w:rFonts w:ascii="Aptos" w:hAnsi="Aptos"/>
                <w:b w:val="0"/>
                <w:color w:val="17324D"/>
                <w:sz w:val="16"/>
              </w:rPr>
              <w:t>63,005.40</w:t>
            </w:r>
          </w:p>
        </w:tc>
        <w:tc>
          <w:tcPr>
            <w:tcW w:type="dxa" w:w="1694"/>
            <w:vAlign w:val="center"/>
          </w:tcPr>
          <w:p>
            <w:r/>
            <w:r>
              <w:rPr>
                <w:rFonts w:ascii="Aptos" w:hAnsi="Aptos"/>
                <w:b w:val="0"/>
                <w:color w:val="17324D"/>
                <w:sz w:val="16"/>
              </w:rPr>
              <w:t>49.38%</w:t>
            </w:r>
          </w:p>
        </w:tc>
        <w:tc>
          <w:tcPr>
            <w:tcW w:type="dxa" w:w="1694"/>
            <w:vAlign w:val="center"/>
          </w:tcPr>
          <w:p>
            <w:r/>
            <w:r>
              <w:rPr>
                <w:rFonts w:ascii="Aptos" w:hAnsi="Aptos"/>
                <w:b w:val="0"/>
                <w:color w:val="17324D"/>
                <w:sz w:val="16"/>
              </w:rPr>
              <w:t>29.92</w:t>
            </w:r>
          </w:p>
        </w:tc>
        <w:tc>
          <w:tcPr>
            <w:tcW w:type="dxa" w:w="1694"/>
            <w:vAlign w:val="center"/>
          </w:tcPr>
          <w:p>
            <w:r/>
            <w:r>
              <w:rPr>
                <w:rFonts w:ascii="Aptos" w:hAnsi="Aptos"/>
                <w:b w:val="0"/>
                <w:color w:val="17324D"/>
                <w:sz w:val="16"/>
              </w:rPr>
              <w:t>26</w:t>
            </w:r>
          </w:p>
        </w:tc>
      </w:tr>
      <w:tr>
        <w:tc>
          <w:tcPr>
            <w:tcW w:type="dxa" w:w="1694"/>
            <w:vAlign w:val="center"/>
            <w:shd w:fill="F3F7F9"/>
          </w:tcPr>
          <w:p>
            <w:r/>
            <w:r>
              <w:rPr>
                <w:rFonts w:ascii="Aptos" w:hAnsi="Aptos"/>
                <w:b w:val="0"/>
                <w:color w:val="17324D"/>
                <w:sz w:val="16"/>
              </w:rPr>
              <w:t>2</w:t>
            </w:r>
          </w:p>
        </w:tc>
        <w:tc>
          <w:tcPr>
            <w:tcW w:type="dxa" w:w="1694"/>
            <w:vAlign w:val="center"/>
            <w:shd w:fill="F3F7F9"/>
          </w:tcPr>
          <w:p>
            <w:r/>
            <w:r>
              <w:rPr>
                <w:rFonts w:ascii="Aptos" w:hAnsi="Aptos"/>
                <w:b w:val="0"/>
                <w:color w:val="17324D"/>
                <w:sz w:val="16"/>
              </w:rPr>
              <w:t>N05B</w:t>
            </w:r>
          </w:p>
        </w:tc>
        <w:tc>
          <w:tcPr>
            <w:tcW w:type="dxa" w:w="1694"/>
            <w:vAlign w:val="center"/>
            <w:shd w:fill="F3F7F9"/>
          </w:tcPr>
          <w:p>
            <w:r/>
            <w:r>
              <w:rPr>
                <w:rFonts w:ascii="Aptos" w:hAnsi="Aptos"/>
                <w:b w:val="0"/>
                <w:color w:val="17324D"/>
                <w:sz w:val="16"/>
              </w:rPr>
              <w:t>18,645.74</w:t>
            </w:r>
          </w:p>
        </w:tc>
        <w:tc>
          <w:tcPr>
            <w:tcW w:type="dxa" w:w="1694"/>
            <w:vAlign w:val="center"/>
            <w:shd w:fill="F3F7F9"/>
          </w:tcPr>
          <w:p>
            <w:r/>
            <w:r>
              <w:rPr>
                <w:rFonts w:ascii="Aptos" w:hAnsi="Aptos"/>
                <w:b w:val="0"/>
                <w:color w:val="17324D"/>
                <w:sz w:val="16"/>
              </w:rPr>
              <w:t>14.61%</w:t>
            </w:r>
          </w:p>
        </w:tc>
        <w:tc>
          <w:tcPr>
            <w:tcW w:type="dxa" w:w="1694"/>
            <w:vAlign w:val="center"/>
            <w:shd w:fill="F3F7F9"/>
          </w:tcPr>
          <w:p>
            <w:r/>
            <w:r>
              <w:rPr>
                <w:rFonts w:ascii="Aptos" w:hAnsi="Aptos"/>
                <w:b w:val="0"/>
                <w:color w:val="17324D"/>
                <w:sz w:val="16"/>
              </w:rPr>
              <w:t>8.85</w:t>
            </w:r>
          </w:p>
        </w:tc>
        <w:tc>
          <w:tcPr>
            <w:tcW w:type="dxa" w:w="1694"/>
            <w:vAlign w:val="center"/>
            <w:shd w:fill="F3F7F9"/>
          </w:tcPr>
          <w:p>
            <w:r/>
            <w:r>
              <w:rPr>
                <w:rFonts w:ascii="Aptos" w:hAnsi="Aptos"/>
                <w:b w:val="0"/>
                <w:color w:val="17324D"/>
                <w:sz w:val="16"/>
              </w:rPr>
              <w:t>43</w:t>
            </w:r>
          </w:p>
        </w:tc>
      </w:tr>
      <w:tr>
        <w:tc>
          <w:tcPr>
            <w:tcW w:type="dxa" w:w="1694"/>
            <w:vAlign w:val="center"/>
          </w:tcPr>
          <w:p>
            <w:r/>
            <w:r>
              <w:rPr>
                <w:rFonts w:ascii="Aptos" w:hAnsi="Aptos"/>
                <w:b w:val="0"/>
                <w:color w:val="17324D"/>
                <w:sz w:val="16"/>
              </w:rPr>
              <w:t>3</w:t>
            </w:r>
          </w:p>
        </w:tc>
        <w:tc>
          <w:tcPr>
            <w:tcW w:type="dxa" w:w="1694"/>
            <w:vAlign w:val="center"/>
          </w:tcPr>
          <w:p>
            <w:r/>
            <w:r>
              <w:rPr>
                <w:rFonts w:ascii="Aptos" w:hAnsi="Aptos"/>
                <w:b w:val="0"/>
                <w:color w:val="17324D"/>
                <w:sz w:val="16"/>
              </w:rPr>
              <w:t>R03</w:t>
            </w:r>
          </w:p>
        </w:tc>
        <w:tc>
          <w:tcPr>
            <w:tcW w:type="dxa" w:w="1694"/>
            <w:vAlign w:val="center"/>
          </w:tcPr>
          <w:p>
            <w:r/>
            <w:r>
              <w:rPr>
                <w:rFonts w:ascii="Aptos" w:hAnsi="Aptos"/>
                <w:b w:val="0"/>
                <w:color w:val="17324D"/>
                <w:sz w:val="16"/>
              </w:rPr>
              <w:t>11,608.82</w:t>
            </w:r>
          </w:p>
        </w:tc>
        <w:tc>
          <w:tcPr>
            <w:tcW w:type="dxa" w:w="1694"/>
            <w:vAlign w:val="center"/>
          </w:tcPr>
          <w:p>
            <w:r/>
            <w:r>
              <w:rPr>
                <w:rFonts w:ascii="Aptos" w:hAnsi="Aptos"/>
                <w:b w:val="0"/>
                <w:color w:val="17324D"/>
                <w:sz w:val="16"/>
              </w:rPr>
              <w:t>9.10%</w:t>
            </w:r>
          </w:p>
        </w:tc>
        <w:tc>
          <w:tcPr>
            <w:tcW w:type="dxa" w:w="1694"/>
            <w:vAlign w:val="center"/>
          </w:tcPr>
          <w:p>
            <w:r/>
            <w:r>
              <w:rPr>
                <w:rFonts w:ascii="Aptos" w:hAnsi="Aptos"/>
                <w:b w:val="0"/>
                <w:color w:val="17324D"/>
                <w:sz w:val="16"/>
              </w:rPr>
              <w:t>5.51</w:t>
            </w:r>
          </w:p>
        </w:tc>
        <w:tc>
          <w:tcPr>
            <w:tcW w:type="dxa" w:w="1694"/>
            <w:vAlign w:val="center"/>
          </w:tcPr>
          <w:p>
            <w:r/>
            <w:r>
              <w:rPr>
                <w:rFonts w:ascii="Aptos" w:hAnsi="Aptos"/>
                <w:b w:val="0"/>
                <w:color w:val="17324D"/>
                <w:sz w:val="16"/>
              </w:rPr>
              <w:t>484</w:t>
            </w:r>
          </w:p>
        </w:tc>
      </w:tr>
      <w:tr>
        <w:tc>
          <w:tcPr>
            <w:tcW w:type="dxa" w:w="1694"/>
            <w:vAlign w:val="center"/>
            <w:shd w:fill="F3F7F9"/>
          </w:tcPr>
          <w:p>
            <w:r/>
            <w:r>
              <w:rPr>
                <w:rFonts w:ascii="Aptos" w:hAnsi="Aptos"/>
                <w:b w:val="0"/>
                <w:color w:val="17324D"/>
                <w:sz w:val="16"/>
              </w:rPr>
              <w:t>4</w:t>
            </w:r>
          </w:p>
        </w:tc>
        <w:tc>
          <w:tcPr>
            <w:tcW w:type="dxa" w:w="1694"/>
            <w:vAlign w:val="center"/>
            <w:shd w:fill="F3F7F9"/>
          </w:tcPr>
          <w:p>
            <w:r/>
            <w:r>
              <w:rPr>
                <w:rFonts w:ascii="Aptos" w:hAnsi="Aptos"/>
                <w:b w:val="0"/>
                <w:color w:val="17324D"/>
                <w:sz w:val="16"/>
              </w:rPr>
              <w:t>M01AB</w:t>
            </w:r>
          </w:p>
        </w:tc>
        <w:tc>
          <w:tcPr>
            <w:tcW w:type="dxa" w:w="1694"/>
            <w:vAlign w:val="center"/>
            <w:shd w:fill="F3F7F9"/>
          </w:tcPr>
          <w:p>
            <w:r/>
            <w:r>
              <w:rPr>
                <w:rFonts w:ascii="Aptos" w:hAnsi="Aptos"/>
                <w:b w:val="0"/>
                <w:color w:val="17324D"/>
                <w:sz w:val="16"/>
              </w:rPr>
              <w:t>10,600.94</w:t>
            </w:r>
          </w:p>
        </w:tc>
        <w:tc>
          <w:tcPr>
            <w:tcW w:type="dxa" w:w="1694"/>
            <w:vAlign w:val="center"/>
            <w:shd w:fill="F3F7F9"/>
          </w:tcPr>
          <w:p>
            <w:r/>
            <w:r>
              <w:rPr>
                <w:rFonts w:ascii="Aptos" w:hAnsi="Aptos"/>
                <w:b w:val="0"/>
                <w:color w:val="17324D"/>
                <w:sz w:val="16"/>
              </w:rPr>
              <w:t>8.31%</w:t>
            </w:r>
          </w:p>
        </w:tc>
        <w:tc>
          <w:tcPr>
            <w:tcW w:type="dxa" w:w="1694"/>
            <w:vAlign w:val="center"/>
            <w:shd w:fill="F3F7F9"/>
          </w:tcPr>
          <w:p>
            <w:r/>
            <w:r>
              <w:rPr>
                <w:rFonts w:ascii="Aptos" w:hAnsi="Aptos"/>
                <w:b w:val="0"/>
                <w:color w:val="17324D"/>
                <w:sz w:val="16"/>
              </w:rPr>
              <w:t>5.03</w:t>
            </w:r>
          </w:p>
        </w:tc>
        <w:tc>
          <w:tcPr>
            <w:tcW w:type="dxa" w:w="1694"/>
            <w:vAlign w:val="center"/>
            <w:shd w:fill="F3F7F9"/>
          </w:tcPr>
          <w:p>
            <w:r/>
            <w:r>
              <w:rPr>
                <w:rFonts w:ascii="Aptos" w:hAnsi="Aptos"/>
                <w:b w:val="0"/>
                <w:color w:val="17324D"/>
                <w:sz w:val="16"/>
              </w:rPr>
              <w:t>40</w:t>
            </w:r>
          </w:p>
        </w:tc>
      </w:tr>
      <w:tr>
        <w:tc>
          <w:tcPr>
            <w:tcW w:type="dxa" w:w="1694"/>
            <w:vAlign w:val="center"/>
          </w:tcPr>
          <w:p>
            <w:r/>
            <w:r>
              <w:rPr>
                <w:rFonts w:ascii="Aptos" w:hAnsi="Aptos"/>
                <w:b w:val="0"/>
                <w:color w:val="17324D"/>
                <w:sz w:val="16"/>
              </w:rPr>
              <w:t>5</w:t>
            </w:r>
          </w:p>
        </w:tc>
        <w:tc>
          <w:tcPr>
            <w:tcW w:type="dxa" w:w="1694"/>
            <w:vAlign w:val="center"/>
          </w:tcPr>
          <w:p>
            <w:r/>
            <w:r>
              <w:rPr>
                <w:rFonts w:ascii="Aptos" w:hAnsi="Aptos"/>
                <w:b w:val="0"/>
                <w:color w:val="17324D"/>
                <w:sz w:val="16"/>
              </w:rPr>
              <w:t>M01AE</w:t>
            </w:r>
          </w:p>
        </w:tc>
        <w:tc>
          <w:tcPr>
            <w:tcW w:type="dxa" w:w="1694"/>
            <w:vAlign w:val="center"/>
          </w:tcPr>
          <w:p>
            <w:r/>
            <w:r>
              <w:rPr>
                <w:rFonts w:ascii="Aptos" w:hAnsi="Aptos"/>
                <w:b w:val="0"/>
                <w:color w:val="17324D"/>
                <w:sz w:val="16"/>
              </w:rPr>
              <w:t>8,204.62</w:t>
            </w:r>
          </w:p>
        </w:tc>
        <w:tc>
          <w:tcPr>
            <w:tcW w:type="dxa" w:w="1694"/>
            <w:vAlign w:val="center"/>
          </w:tcPr>
          <w:p>
            <w:r/>
            <w:r>
              <w:rPr>
                <w:rFonts w:ascii="Aptos" w:hAnsi="Aptos"/>
                <w:b w:val="0"/>
                <w:color w:val="17324D"/>
                <w:sz w:val="16"/>
              </w:rPr>
              <w:t>6.43%</w:t>
            </w:r>
          </w:p>
        </w:tc>
        <w:tc>
          <w:tcPr>
            <w:tcW w:type="dxa" w:w="1694"/>
            <w:vAlign w:val="center"/>
          </w:tcPr>
          <w:p>
            <w:r/>
            <w:r>
              <w:rPr>
                <w:rFonts w:ascii="Aptos" w:hAnsi="Aptos"/>
                <w:b w:val="0"/>
                <w:color w:val="17324D"/>
                <w:sz w:val="16"/>
              </w:rPr>
              <w:t>3.90</w:t>
            </w:r>
          </w:p>
        </w:tc>
        <w:tc>
          <w:tcPr>
            <w:tcW w:type="dxa" w:w="1694"/>
            <w:vAlign w:val="center"/>
          </w:tcPr>
          <w:p>
            <w:r/>
            <w:r>
              <w:rPr>
                <w:rFonts w:ascii="Aptos" w:hAnsi="Aptos"/>
                <w:b w:val="0"/>
                <w:color w:val="17324D"/>
                <w:sz w:val="16"/>
              </w:rPr>
              <w:t>36</w:t>
            </w:r>
          </w:p>
        </w:tc>
      </w:tr>
      <w:tr>
        <w:tc>
          <w:tcPr>
            <w:tcW w:type="dxa" w:w="1694"/>
            <w:vAlign w:val="center"/>
            <w:shd w:fill="F3F7F9"/>
          </w:tcPr>
          <w:p>
            <w:r/>
            <w:r>
              <w:rPr>
                <w:rFonts w:ascii="Aptos" w:hAnsi="Aptos"/>
                <w:b w:val="0"/>
                <w:color w:val="17324D"/>
                <w:sz w:val="16"/>
              </w:rPr>
              <w:t>6</w:t>
            </w:r>
          </w:p>
        </w:tc>
        <w:tc>
          <w:tcPr>
            <w:tcW w:type="dxa" w:w="1694"/>
            <w:vAlign w:val="center"/>
            <w:shd w:fill="F3F7F9"/>
          </w:tcPr>
          <w:p>
            <w:r/>
            <w:r>
              <w:rPr>
                <w:rFonts w:ascii="Aptos" w:hAnsi="Aptos"/>
                <w:b w:val="0"/>
                <w:color w:val="17324D"/>
                <w:sz w:val="16"/>
              </w:rPr>
              <w:t>N02BA</w:t>
            </w:r>
          </w:p>
        </w:tc>
        <w:tc>
          <w:tcPr>
            <w:tcW w:type="dxa" w:w="1694"/>
            <w:vAlign w:val="center"/>
            <w:shd w:fill="F3F7F9"/>
          </w:tcPr>
          <w:p>
            <w:r/>
            <w:r>
              <w:rPr>
                <w:rFonts w:ascii="Aptos" w:hAnsi="Aptos"/>
                <w:b w:val="0"/>
                <w:color w:val="17324D"/>
                <w:sz w:val="16"/>
              </w:rPr>
              <w:t>8,172.21</w:t>
            </w:r>
          </w:p>
        </w:tc>
        <w:tc>
          <w:tcPr>
            <w:tcW w:type="dxa" w:w="1694"/>
            <w:vAlign w:val="center"/>
            <w:shd w:fill="F3F7F9"/>
          </w:tcPr>
          <w:p>
            <w:r/>
            <w:r>
              <w:rPr>
                <w:rFonts w:ascii="Aptos" w:hAnsi="Aptos"/>
                <w:b w:val="0"/>
                <w:color w:val="17324D"/>
                <w:sz w:val="16"/>
              </w:rPr>
              <w:t>6.40%</w:t>
            </w:r>
          </w:p>
        </w:tc>
        <w:tc>
          <w:tcPr>
            <w:tcW w:type="dxa" w:w="1694"/>
            <w:vAlign w:val="center"/>
            <w:shd w:fill="F3F7F9"/>
          </w:tcPr>
          <w:p>
            <w:r/>
            <w:r>
              <w:rPr>
                <w:rFonts w:ascii="Aptos" w:hAnsi="Aptos"/>
                <w:b w:val="0"/>
                <w:color w:val="17324D"/>
                <w:sz w:val="16"/>
              </w:rPr>
              <w:t>3.88</w:t>
            </w:r>
          </w:p>
        </w:tc>
        <w:tc>
          <w:tcPr>
            <w:tcW w:type="dxa" w:w="1694"/>
            <w:vAlign w:val="center"/>
            <w:shd w:fill="F3F7F9"/>
          </w:tcPr>
          <w:p>
            <w:r/>
            <w:r>
              <w:rPr>
                <w:rFonts w:ascii="Aptos" w:hAnsi="Aptos"/>
                <w:b w:val="0"/>
                <w:color w:val="17324D"/>
                <w:sz w:val="16"/>
              </w:rPr>
              <w:t>78</w:t>
            </w:r>
          </w:p>
        </w:tc>
      </w:tr>
      <w:tr>
        <w:tc>
          <w:tcPr>
            <w:tcW w:type="dxa" w:w="1694"/>
            <w:vAlign w:val="center"/>
          </w:tcPr>
          <w:p>
            <w:r/>
            <w:r>
              <w:rPr>
                <w:rFonts w:ascii="Aptos" w:hAnsi="Aptos"/>
                <w:b w:val="0"/>
                <w:color w:val="17324D"/>
                <w:sz w:val="16"/>
              </w:rPr>
              <w:t>7</w:t>
            </w:r>
          </w:p>
        </w:tc>
        <w:tc>
          <w:tcPr>
            <w:tcW w:type="dxa" w:w="1694"/>
            <w:vAlign w:val="center"/>
          </w:tcPr>
          <w:p>
            <w:r/>
            <w:r>
              <w:rPr>
                <w:rFonts w:ascii="Aptos" w:hAnsi="Aptos"/>
                <w:b w:val="0"/>
                <w:color w:val="17324D"/>
                <w:sz w:val="16"/>
              </w:rPr>
              <w:t>R06</w:t>
            </w:r>
          </w:p>
        </w:tc>
        <w:tc>
          <w:tcPr>
            <w:tcW w:type="dxa" w:w="1694"/>
            <w:vAlign w:val="center"/>
          </w:tcPr>
          <w:p>
            <w:r/>
            <w:r>
              <w:rPr>
                <w:rFonts w:ascii="Aptos" w:hAnsi="Aptos"/>
                <w:b w:val="0"/>
                <w:color w:val="17324D"/>
                <w:sz w:val="16"/>
              </w:rPr>
              <w:t>6,107.82</w:t>
            </w:r>
          </w:p>
        </w:tc>
        <w:tc>
          <w:tcPr>
            <w:tcW w:type="dxa" w:w="1694"/>
            <w:vAlign w:val="center"/>
          </w:tcPr>
          <w:p>
            <w:r/>
            <w:r>
              <w:rPr>
                <w:rFonts w:ascii="Aptos" w:hAnsi="Aptos"/>
                <w:b w:val="0"/>
                <w:color w:val="17324D"/>
                <w:sz w:val="16"/>
              </w:rPr>
              <w:t>4.79%</w:t>
            </w:r>
          </w:p>
        </w:tc>
        <w:tc>
          <w:tcPr>
            <w:tcW w:type="dxa" w:w="1694"/>
            <w:vAlign w:val="center"/>
          </w:tcPr>
          <w:p>
            <w:r/>
            <w:r>
              <w:rPr>
                <w:rFonts w:ascii="Aptos" w:hAnsi="Aptos"/>
                <w:b w:val="0"/>
                <w:color w:val="17324D"/>
                <w:sz w:val="16"/>
              </w:rPr>
              <w:t>2.90</w:t>
            </w:r>
          </w:p>
        </w:tc>
        <w:tc>
          <w:tcPr>
            <w:tcW w:type="dxa" w:w="1694"/>
            <w:vAlign w:val="center"/>
          </w:tcPr>
          <w:p>
            <w:r/>
            <w:r>
              <w:rPr>
                <w:rFonts w:ascii="Aptos" w:hAnsi="Aptos"/>
                <w:b w:val="0"/>
                <w:color w:val="17324D"/>
                <w:sz w:val="16"/>
              </w:rPr>
              <w:t>256</w:t>
            </w:r>
          </w:p>
        </w:tc>
      </w:tr>
      <w:tr>
        <w:tc>
          <w:tcPr>
            <w:tcW w:type="dxa" w:w="1694"/>
            <w:vAlign w:val="center"/>
            <w:shd w:fill="F3F7F9"/>
          </w:tcPr>
          <w:p>
            <w:r/>
            <w:r>
              <w:rPr>
                <w:rFonts w:ascii="Aptos" w:hAnsi="Aptos"/>
                <w:b w:val="0"/>
                <w:color w:val="17324D"/>
                <w:sz w:val="16"/>
              </w:rPr>
              <w:t>8</w:t>
            </w:r>
          </w:p>
        </w:tc>
        <w:tc>
          <w:tcPr>
            <w:tcW w:type="dxa" w:w="1694"/>
            <w:vAlign w:val="center"/>
            <w:shd w:fill="F3F7F9"/>
          </w:tcPr>
          <w:p>
            <w:r/>
            <w:r>
              <w:rPr>
                <w:rFonts w:ascii="Aptos" w:hAnsi="Aptos"/>
                <w:b w:val="0"/>
                <w:color w:val="17324D"/>
                <w:sz w:val="16"/>
              </w:rPr>
              <w:t>N05C</w:t>
            </w:r>
          </w:p>
        </w:tc>
        <w:tc>
          <w:tcPr>
            <w:tcW w:type="dxa" w:w="1694"/>
            <w:vAlign w:val="center"/>
            <w:shd w:fill="F3F7F9"/>
          </w:tcPr>
          <w:p>
            <w:r/>
            <w:r>
              <w:rPr>
                <w:rFonts w:ascii="Aptos" w:hAnsi="Aptos"/>
                <w:b w:val="0"/>
                <w:color w:val="17324D"/>
                <w:sz w:val="16"/>
              </w:rPr>
              <w:t>1,249.96</w:t>
            </w:r>
          </w:p>
        </w:tc>
        <w:tc>
          <w:tcPr>
            <w:tcW w:type="dxa" w:w="1694"/>
            <w:vAlign w:val="center"/>
            <w:shd w:fill="F3F7F9"/>
          </w:tcPr>
          <w:p>
            <w:r/>
            <w:r>
              <w:rPr>
                <w:rFonts w:ascii="Aptos" w:hAnsi="Aptos"/>
                <w:b w:val="0"/>
                <w:color w:val="17324D"/>
                <w:sz w:val="16"/>
              </w:rPr>
              <w:t>0.98%</w:t>
            </w:r>
          </w:p>
        </w:tc>
        <w:tc>
          <w:tcPr>
            <w:tcW w:type="dxa" w:w="1694"/>
            <w:vAlign w:val="center"/>
            <w:shd w:fill="F3F7F9"/>
          </w:tcPr>
          <w:p>
            <w:r/>
            <w:r>
              <w:rPr>
                <w:rFonts w:ascii="Aptos" w:hAnsi="Aptos"/>
                <w:b w:val="0"/>
                <w:color w:val="17324D"/>
                <w:sz w:val="16"/>
              </w:rPr>
              <w:t>0.59</w:t>
            </w:r>
          </w:p>
        </w:tc>
        <w:tc>
          <w:tcPr>
            <w:tcW w:type="dxa" w:w="1694"/>
            <w:vAlign w:val="center"/>
            <w:shd w:fill="F3F7F9"/>
          </w:tcPr>
          <w:p>
            <w:r/>
            <w:r>
              <w:rPr>
                <w:rFonts w:ascii="Aptos" w:hAnsi="Aptos"/>
                <w:b w:val="0"/>
                <w:color w:val="17324D"/>
                <w:sz w:val="16"/>
              </w:rPr>
              <w:t>1,430</w:t>
            </w:r>
          </w:p>
        </w:tc>
      </w:tr>
    </w:tbl>
    <w:p>
      <w:pPr>
        <w:spacing w:after="0"/>
      </w:pPr>
    </w:p>
    <w:p>
      <w:r>
        <w:t>N02BE is the dominant quantity category at 49.38%, followed by N05B at 14.61% and R03 at 9.10%. N05C contributes 0.98% and has the most zero-quantity days. Quantity share should not be interpreted as revenue share or clinical importance.</w:t>
      </w:r>
    </w:p>
    <w:p>
      <w:pPr>
        <w:pStyle w:val="Heading2"/>
      </w:pPr>
      <w:r>
        <w:t>9.2 Monthly trend and seasonal description</w:t>
      </w:r>
    </w:p>
    <w:p>
      <w:pPr>
        <w:jc w:val="center"/>
      </w:pPr>
      <w:r>
        <w:drawing>
          <wp:inline xmlns:a="http://schemas.openxmlformats.org/drawingml/2006/main" xmlns:pic="http://schemas.openxmlformats.org/drawingml/2006/picture">
            <wp:extent cx="6400800" cy="3082714"/>
            <wp:docPr id="3" name="Picture 3"/>
            <wp:cNvGraphicFramePr>
              <a:graphicFrameLocks noChangeAspect="1"/>
            </wp:cNvGraphicFramePr>
            <a:graphic>
              <a:graphicData uri="http://schemas.openxmlformats.org/drawingml/2006/picture">
                <pic:pic>
                  <pic:nvPicPr>
                    <pic:cNvPr id="0" name="01_Monthly_Sales_Trend.png"/>
                    <pic:cNvPicPr/>
                  </pic:nvPicPr>
                  <pic:blipFill>
                    <a:blip r:embed="rId13"/>
                    <a:stretch>
                      <a:fillRect/>
                    </a:stretch>
                  </pic:blipFill>
                  <pic:spPr>
                    <a:xfrm>
                      <a:off x="0" y="0"/>
                      <a:ext cx="6400800" cy="3082714"/>
                    </a:xfrm>
                    <a:prstGeom prst="rect"/>
                  </pic:spPr>
                </pic:pic>
              </a:graphicData>
            </a:graphic>
          </wp:inline>
        </w:drawing>
      </w:r>
    </w:p>
    <w:p>
      <w:pPr>
        <w:spacing w:after="160"/>
        <w:jc w:val="center"/>
      </w:pPr>
      <w:r>
        <w:rPr>
          <w:i/>
          <w:color w:val="526777"/>
          <w:sz w:val="16"/>
        </w:rPr>
        <w:t>Figure 3. Monthly quantity for the 68 complete calendar months.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456"/>
            <w:vAlign w:val="center"/>
            <w:shd w:fill="17324D"/>
          </w:tcPr>
          <w:p>
            <w:r/>
            <w:r>
              <w:rPr>
                <w:rFonts w:ascii="Aptos" w:hAnsi="Aptos"/>
                <w:b/>
                <w:color w:val="FFFFFF"/>
                <w:sz w:val="18"/>
              </w:rPr>
              <w:t>Complete-month observation</w:t>
            </w:r>
          </w:p>
        </w:tc>
        <w:tc>
          <w:tcPr>
            <w:tcW w:type="dxa" w:w="3456"/>
            <w:vAlign w:val="center"/>
            <w:shd w:fill="17324D"/>
          </w:tcPr>
          <w:p>
            <w:r/>
            <w:r>
              <w:rPr>
                <w:rFonts w:ascii="Aptos" w:hAnsi="Aptos"/>
                <w:b/>
                <w:color w:val="FFFFFF"/>
                <w:sz w:val="18"/>
              </w:rPr>
              <w:t>Month</w:t>
            </w:r>
          </w:p>
        </w:tc>
        <w:tc>
          <w:tcPr>
            <w:tcW w:type="dxa" w:w="2880"/>
            <w:vAlign w:val="center"/>
            <w:shd w:fill="17324D"/>
          </w:tcPr>
          <w:p>
            <w:r/>
            <w:r>
              <w:rPr>
                <w:rFonts w:ascii="Aptos" w:hAnsi="Aptos"/>
                <w:b/>
                <w:color w:val="FFFFFF"/>
                <w:sz w:val="18"/>
              </w:rPr>
              <w:t>Quantity</w:t>
            </w:r>
          </w:p>
        </w:tc>
      </w:tr>
      <w:tr>
        <w:tc>
          <w:tcPr>
            <w:tcW w:type="dxa" w:w="3456"/>
            <w:vAlign w:val="center"/>
          </w:tcPr>
          <w:p>
            <w:r/>
            <w:r>
              <w:rPr>
                <w:rFonts w:ascii="Aptos" w:hAnsi="Aptos"/>
                <w:b w:val="0"/>
                <w:color w:val="17324D"/>
                <w:sz w:val="18"/>
              </w:rPr>
              <w:t>Highest</w:t>
            </w:r>
          </w:p>
        </w:tc>
        <w:tc>
          <w:tcPr>
            <w:tcW w:type="dxa" w:w="3456"/>
            <w:vAlign w:val="center"/>
          </w:tcPr>
          <w:p>
            <w:r/>
            <w:r>
              <w:rPr>
                <w:rFonts w:ascii="Aptos" w:hAnsi="Aptos"/>
                <w:b w:val="0"/>
                <w:color w:val="17324D"/>
                <w:sz w:val="18"/>
              </w:rPr>
              <w:t>January 2019</w:t>
            </w:r>
          </w:p>
        </w:tc>
        <w:tc>
          <w:tcPr>
            <w:tcW w:type="dxa" w:w="2880"/>
            <w:vAlign w:val="center"/>
          </w:tcPr>
          <w:p>
            <w:r/>
            <w:r>
              <w:rPr>
                <w:rFonts w:ascii="Aptos" w:hAnsi="Aptos"/>
                <w:b w:val="0"/>
                <w:color w:val="17324D"/>
                <w:sz w:val="18"/>
              </w:rPr>
              <w:t>2,875.16</w:t>
            </w:r>
          </w:p>
        </w:tc>
      </w:tr>
      <w:tr>
        <w:tc>
          <w:tcPr>
            <w:tcW w:type="dxa" w:w="3456"/>
            <w:vAlign w:val="center"/>
            <w:shd w:fill="F3F7F9"/>
          </w:tcPr>
          <w:p>
            <w:r/>
            <w:r>
              <w:rPr>
                <w:rFonts w:ascii="Aptos" w:hAnsi="Aptos"/>
                <w:b w:val="0"/>
                <w:color w:val="17324D"/>
                <w:sz w:val="18"/>
              </w:rPr>
              <w:t>Lowest</w:t>
            </w:r>
          </w:p>
        </w:tc>
        <w:tc>
          <w:tcPr>
            <w:tcW w:type="dxa" w:w="3456"/>
            <w:vAlign w:val="center"/>
            <w:shd w:fill="F3F7F9"/>
          </w:tcPr>
          <w:p>
            <w:r/>
            <w:r>
              <w:rPr>
                <w:rFonts w:ascii="Aptos" w:hAnsi="Aptos"/>
                <w:b w:val="0"/>
                <w:color w:val="17324D"/>
                <w:sz w:val="18"/>
              </w:rPr>
              <w:t>July 2017</w:t>
            </w:r>
          </w:p>
        </w:tc>
        <w:tc>
          <w:tcPr>
            <w:tcW w:type="dxa" w:w="2880"/>
            <w:vAlign w:val="center"/>
            <w:shd w:fill="F3F7F9"/>
          </w:tcPr>
          <w:p>
            <w:r/>
            <w:r>
              <w:rPr>
                <w:rFonts w:ascii="Aptos" w:hAnsi="Aptos"/>
                <w:b w:val="0"/>
                <w:color w:val="17324D"/>
                <w:sz w:val="18"/>
              </w:rPr>
              <w:t>1,251.15</w:t>
            </w:r>
          </w:p>
        </w:tc>
      </w:tr>
    </w:tbl>
    <w:p>
      <w:pPr>
        <w:spacing w:after="0"/>
      </w:pPr>
    </w:p>
    <w:p>
      <w:r>
        <w:t>Across complete months, January has the highest average monthly quantity (2,433.92 across 5 observations), while July has the lowest (1,459.75 across 6 observations). This is a descriptive calendar pattern based on only five to six observations per calendar month; it is not a validated forecasting model.</w:t>
      </w:r>
    </w:p>
    <w:p>
      <w:pPr>
        <w:pStyle w:val="Heading2"/>
      </w:pPr>
      <w:r>
        <w:t>9.3 Annual coverage and totals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7324D"/>
          </w:tcPr>
          <w:p>
            <w:r/>
            <w:r>
              <w:rPr>
                <w:rFonts w:ascii="Aptos" w:hAnsi="Aptos"/>
                <w:b/>
                <w:color w:val="FFFFFF"/>
                <w:sz w:val="16"/>
              </w:rPr>
              <w:t>Year</w:t>
            </w:r>
          </w:p>
        </w:tc>
        <w:tc>
          <w:tcPr>
            <w:tcW w:type="dxa" w:w="2033"/>
            <w:vAlign w:val="center"/>
            <w:shd w:fill="17324D"/>
          </w:tcPr>
          <w:p>
            <w:r/>
            <w:r>
              <w:rPr>
                <w:rFonts w:ascii="Aptos" w:hAnsi="Aptos"/>
                <w:b/>
                <w:color w:val="FFFFFF"/>
                <w:sz w:val="16"/>
              </w:rPr>
              <w:t>Days</w:t>
            </w:r>
          </w:p>
        </w:tc>
        <w:tc>
          <w:tcPr>
            <w:tcW w:type="dxa" w:w="2033"/>
            <w:vAlign w:val="center"/>
            <w:shd w:fill="17324D"/>
          </w:tcPr>
          <w:p>
            <w:r/>
            <w:r>
              <w:rPr>
                <w:rFonts w:ascii="Aptos" w:hAnsi="Aptos"/>
                <w:b/>
                <w:color w:val="FFFFFF"/>
                <w:sz w:val="16"/>
              </w:rPr>
              <w:t>Coverage</w:t>
            </w:r>
          </w:p>
        </w:tc>
        <w:tc>
          <w:tcPr>
            <w:tcW w:type="dxa" w:w="2033"/>
            <w:vAlign w:val="center"/>
            <w:shd w:fill="17324D"/>
          </w:tcPr>
          <w:p>
            <w:r/>
            <w:r>
              <w:rPr>
                <w:rFonts w:ascii="Aptos" w:hAnsi="Aptos"/>
                <w:b/>
                <w:color w:val="FFFFFF"/>
                <w:sz w:val="16"/>
              </w:rPr>
              <w:t>Total quantity</w:t>
            </w:r>
          </w:p>
        </w:tc>
        <w:tc>
          <w:tcPr>
            <w:tcW w:type="dxa" w:w="2033"/>
            <w:vAlign w:val="center"/>
            <w:shd w:fill="17324D"/>
          </w:tcPr>
          <w:p>
            <w:r/>
            <w:r>
              <w:rPr>
                <w:rFonts w:ascii="Aptos" w:hAnsi="Aptos"/>
                <w:b/>
                <w:color w:val="FFFFFF"/>
                <w:sz w:val="16"/>
              </w:rPr>
              <w:t>Average/day</w:t>
            </w:r>
          </w:p>
        </w:tc>
      </w:tr>
      <w:tr>
        <w:tc>
          <w:tcPr>
            <w:tcW w:type="dxa" w:w="2033"/>
            <w:vAlign w:val="center"/>
          </w:tcPr>
          <w:p>
            <w:r/>
            <w:r>
              <w:rPr>
                <w:rFonts w:ascii="Aptos" w:hAnsi="Aptos"/>
                <w:b w:val="0"/>
                <w:color w:val="17324D"/>
                <w:sz w:val="16"/>
              </w:rPr>
              <w:t>2014</w:t>
            </w:r>
          </w:p>
        </w:tc>
        <w:tc>
          <w:tcPr>
            <w:tcW w:type="dxa" w:w="2033"/>
            <w:vAlign w:val="center"/>
          </w:tcPr>
          <w:p>
            <w:r/>
            <w:r>
              <w:rPr>
                <w:rFonts w:ascii="Aptos" w:hAnsi="Aptos"/>
                <w:b w:val="0"/>
                <w:color w:val="17324D"/>
                <w:sz w:val="16"/>
              </w:rPr>
              <w:t>364</w:t>
            </w:r>
          </w:p>
        </w:tc>
        <w:tc>
          <w:tcPr>
            <w:tcW w:type="dxa" w:w="2033"/>
            <w:vAlign w:val="center"/>
          </w:tcPr>
          <w:p>
            <w:r/>
            <w:r>
              <w:rPr>
                <w:rFonts w:ascii="Aptos" w:hAnsi="Aptos"/>
                <w:b w:val="0"/>
                <w:color w:val="17324D"/>
                <w:sz w:val="16"/>
              </w:rPr>
              <w:t>Partial calendar year</w:t>
            </w:r>
          </w:p>
        </w:tc>
        <w:tc>
          <w:tcPr>
            <w:tcW w:type="dxa" w:w="2033"/>
            <w:vAlign w:val="center"/>
          </w:tcPr>
          <w:p>
            <w:r/>
            <w:r>
              <w:rPr>
                <w:rFonts w:ascii="Aptos" w:hAnsi="Aptos"/>
                <w:b w:val="0"/>
                <w:color w:val="17324D"/>
                <w:sz w:val="16"/>
              </w:rPr>
              <w:t>20,238.34</w:t>
            </w:r>
          </w:p>
        </w:tc>
        <w:tc>
          <w:tcPr>
            <w:tcW w:type="dxa" w:w="2033"/>
            <w:vAlign w:val="center"/>
          </w:tcPr>
          <w:p>
            <w:r/>
            <w:r>
              <w:rPr>
                <w:rFonts w:ascii="Aptos" w:hAnsi="Aptos"/>
                <w:b w:val="0"/>
                <w:color w:val="17324D"/>
                <w:sz w:val="16"/>
              </w:rPr>
              <w:t>55.60</w:t>
            </w:r>
          </w:p>
        </w:tc>
      </w:tr>
      <w:tr>
        <w:tc>
          <w:tcPr>
            <w:tcW w:type="dxa" w:w="2033"/>
            <w:vAlign w:val="center"/>
            <w:shd w:fill="F3F7F9"/>
          </w:tcPr>
          <w:p>
            <w:r/>
            <w:r>
              <w:rPr>
                <w:rFonts w:ascii="Aptos" w:hAnsi="Aptos"/>
                <w:b w:val="0"/>
                <w:color w:val="17324D"/>
                <w:sz w:val="16"/>
              </w:rPr>
              <w:t>2015</w:t>
            </w:r>
          </w:p>
        </w:tc>
        <w:tc>
          <w:tcPr>
            <w:tcW w:type="dxa" w:w="2033"/>
            <w:vAlign w:val="center"/>
            <w:shd w:fill="F3F7F9"/>
          </w:tcPr>
          <w:p>
            <w:r/>
            <w:r>
              <w:rPr>
                <w:rFonts w:ascii="Aptos" w:hAnsi="Aptos"/>
                <w:b w:val="0"/>
                <w:color w:val="17324D"/>
                <w:sz w:val="16"/>
              </w:rPr>
              <w:t>365</w:t>
            </w:r>
          </w:p>
        </w:tc>
        <w:tc>
          <w:tcPr>
            <w:tcW w:type="dxa" w:w="2033"/>
            <w:vAlign w:val="center"/>
            <w:shd w:fill="F3F7F9"/>
          </w:tcPr>
          <w:p>
            <w:r/>
            <w:r>
              <w:rPr>
                <w:rFonts w:ascii="Aptos" w:hAnsi="Aptos"/>
                <w:b w:val="0"/>
                <w:color w:val="17324D"/>
                <w:sz w:val="16"/>
              </w:rPr>
              <w:t>Complete calendar year</w:t>
            </w:r>
          </w:p>
        </w:tc>
        <w:tc>
          <w:tcPr>
            <w:tcW w:type="dxa" w:w="2033"/>
            <w:vAlign w:val="center"/>
            <w:shd w:fill="F3F7F9"/>
          </w:tcPr>
          <w:p>
            <w:r/>
            <w:r>
              <w:rPr>
                <w:rFonts w:ascii="Aptos" w:hAnsi="Aptos"/>
                <w:b w:val="0"/>
                <w:color w:val="17324D"/>
                <w:sz w:val="16"/>
              </w:rPr>
              <w:t>22,752.36</w:t>
            </w:r>
          </w:p>
        </w:tc>
        <w:tc>
          <w:tcPr>
            <w:tcW w:type="dxa" w:w="2033"/>
            <w:vAlign w:val="center"/>
            <w:shd w:fill="F3F7F9"/>
          </w:tcPr>
          <w:p>
            <w:r/>
            <w:r>
              <w:rPr>
                <w:rFonts w:ascii="Aptos" w:hAnsi="Aptos"/>
                <w:b w:val="0"/>
                <w:color w:val="17324D"/>
                <w:sz w:val="16"/>
              </w:rPr>
              <w:t>62.34</w:t>
            </w:r>
          </w:p>
        </w:tc>
      </w:tr>
      <w:tr>
        <w:tc>
          <w:tcPr>
            <w:tcW w:type="dxa" w:w="2033"/>
            <w:vAlign w:val="center"/>
          </w:tcPr>
          <w:p>
            <w:r/>
            <w:r>
              <w:rPr>
                <w:rFonts w:ascii="Aptos" w:hAnsi="Aptos"/>
                <w:b w:val="0"/>
                <w:color w:val="17324D"/>
                <w:sz w:val="16"/>
              </w:rPr>
              <w:t>2016</w:t>
            </w:r>
          </w:p>
        </w:tc>
        <w:tc>
          <w:tcPr>
            <w:tcW w:type="dxa" w:w="2033"/>
            <w:vAlign w:val="center"/>
          </w:tcPr>
          <w:p>
            <w:r/>
            <w:r>
              <w:rPr>
                <w:rFonts w:ascii="Aptos" w:hAnsi="Aptos"/>
                <w:b w:val="0"/>
                <w:color w:val="17324D"/>
                <w:sz w:val="16"/>
              </w:rPr>
              <w:t>366</w:t>
            </w:r>
          </w:p>
        </w:tc>
        <w:tc>
          <w:tcPr>
            <w:tcW w:type="dxa" w:w="2033"/>
            <w:vAlign w:val="center"/>
          </w:tcPr>
          <w:p>
            <w:r/>
            <w:r>
              <w:rPr>
                <w:rFonts w:ascii="Aptos" w:hAnsi="Aptos"/>
                <w:b w:val="0"/>
                <w:color w:val="17324D"/>
                <w:sz w:val="16"/>
              </w:rPr>
              <w:t>Complete calendar year</w:t>
            </w:r>
          </w:p>
        </w:tc>
        <w:tc>
          <w:tcPr>
            <w:tcW w:type="dxa" w:w="2033"/>
            <w:vAlign w:val="center"/>
          </w:tcPr>
          <w:p>
            <w:r/>
            <w:r>
              <w:rPr>
                <w:rFonts w:ascii="Aptos" w:hAnsi="Aptos"/>
                <w:b w:val="0"/>
                <w:color w:val="17324D"/>
                <w:sz w:val="16"/>
              </w:rPr>
              <w:t>25,234.93</w:t>
            </w:r>
          </w:p>
        </w:tc>
        <w:tc>
          <w:tcPr>
            <w:tcW w:type="dxa" w:w="2033"/>
            <w:vAlign w:val="center"/>
          </w:tcPr>
          <w:p>
            <w:r/>
            <w:r>
              <w:rPr>
                <w:rFonts w:ascii="Aptos" w:hAnsi="Aptos"/>
                <w:b w:val="0"/>
                <w:color w:val="17324D"/>
                <w:sz w:val="16"/>
              </w:rPr>
              <w:t>68.95</w:t>
            </w:r>
          </w:p>
        </w:tc>
      </w:tr>
      <w:tr>
        <w:tc>
          <w:tcPr>
            <w:tcW w:type="dxa" w:w="2033"/>
            <w:vAlign w:val="center"/>
            <w:shd w:fill="F3F7F9"/>
          </w:tcPr>
          <w:p>
            <w:r/>
            <w:r>
              <w:rPr>
                <w:rFonts w:ascii="Aptos" w:hAnsi="Aptos"/>
                <w:b w:val="0"/>
                <w:color w:val="17324D"/>
                <w:sz w:val="16"/>
              </w:rPr>
              <w:t>2017</w:t>
            </w:r>
          </w:p>
        </w:tc>
        <w:tc>
          <w:tcPr>
            <w:tcW w:type="dxa" w:w="2033"/>
            <w:vAlign w:val="center"/>
            <w:shd w:fill="F3F7F9"/>
          </w:tcPr>
          <w:p>
            <w:r/>
            <w:r>
              <w:rPr>
                <w:rFonts w:ascii="Aptos" w:hAnsi="Aptos"/>
                <w:b w:val="0"/>
                <w:color w:val="17324D"/>
                <w:sz w:val="16"/>
              </w:rPr>
              <w:t>365</w:t>
            </w:r>
          </w:p>
        </w:tc>
        <w:tc>
          <w:tcPr>
            <w:tcW w:type="dxa" w:w="2033"/>
            <w:vAlign w:val="center"/>
            <w:shd w:fill="F3F7F9"/>
          </w:tcPr>
          <w:p>
            <w:r/>
            <w:r>
              <w:rPr>
                <w:rFonts w:ascii="Aptos" w:hAnsi="Aptos"/>
                <w:b w:val="0"/>
                <w:color w:val="17324D"/>
                <w:sz w:val="16"/>
              </w:rPr>
              <w:t>Complete calendar year</w:t>
            </w:r>
          </w:p>
        </w:tc>
        <w:tc>
          <w:tcPr>
            <w:tcW w:type="dxa" w:w="2033"/>
            <w:vAlign w:val="center"/>
            <w:shd w:fill="F3F7F9"/>
          </w:tcPr>
          <w:p>
            <w:r/>
            <w:r>
              <w:rPr>
                <w:rFonts w:ascii="Aptos" w:hAnsi="Aptos"/>
                <w:b w:val="0"/>
                <w:color w:val="17324D"/>
                <w:sz w:val="16"/>
              </w:rPr>
              <w:t>19,399.37</w:t>
            </w:r>
          </w:p>
        </w:tc>
        <w:tc>
          <w:tcPr>
            <w:tcW w:type="dxa" w:w="2033"/>
            <w:vAlign w:val="center"/>
            <w:shd w:fill="F3F7F9"/>
          </w:tcPr>
          <w:p>
            <w:r/>
            <w:r>
              <w:rPr>
                <w:rFonts w:ascii="Aptos" w:hAnsi="Aptos"/>
                <w:b w:val="0"/>
                <w:color w:val="17324D"/>
                <w:sz w:val="16"/>
              </w:rPr>
              <w:t>53.15</w:t>
            </w:r>
          </w:p>
        </w:tc>
      </w:tr>
      <w:tr>
        <w:tc>
          <w:tcPr>
            <w:tcW w:type="dxa" w:w="2033"/>
            <w:vAlign w:val="center"/>
          </w:tcPr>
          <w:p>
            <w:r/>
            <w:r>
              <w:rPr>
                <w:rFonts w:ascii="Aptos" w:hAnsi="Aptos"/>
                <w:b w:val="0"/>
                <w:color w:val="17324D"/>
                <w:sz w:val="16"/>
              </w:rPr>
              <w:t>2018</w:t>
            </w:r>
          </w:p>
        </w:tc>
        <w:tc>
          <w:tcPr>
            <w:tcW w:type="dxa" w:w="2033"/>
            <w:vAlign w:val="center"/>
          </w:tcPr>
          <w:p>
            <w:r/>
            <w:r>
              <w:rPr>
                <w:rFonts w:ascii="Aptos" w:hAnsi="Aptos"/>
                <w:b w:val="0"/>
                <w:color w:val="17324D"/>
                <w:sz w:val="16"/>
              </w:rPr>
              <w:t>365</w:t>
            </w:r>
          </w:p>
        </w:tc>
        <w:tc>
          <w:tcPr>
            <w:tcW w:type="dxa" w:w="2033"/>
            <w:vAlign w:val="center"/>
          </w:tcPr>
          <w:p>
            <w:r/>
            <w:r>
              <w:rPr>
                <w:rFonts w:ascii="Aptos" w:hAnsi="Aptos"/>
                <w:b w:val="0"/>
                <w:color w:val="17324D"/>
                <w:sz w:val="16"/>
              </w:rPr>
              <w:t>Complete calendar year</w:t>
            </w:r>
          </w:p>
        </w:tc>
        <w:tc>
          <w:tcPr>
            <w:tcW w:type="dxa" w:w="2033"/>
            <w:vAlign w:val="center"/>
          </w:tcPr>
          <w:p>
            <w:r/>
            <w:r>
              <w:rPr>
                <w:rFonts w:ascii="Aptos" w:hAnsi="Aptos"/>
                <w:b w:val="0"/>
                <w:color w:val="17324D"/>
                <w:sz w:val="16"/>
              </w:rPr>
              <w:t>22,884.56</w:t>
            </w:r>
          </w:p>
        </w:tc>
        <w:tc>
          <w:tcPr>
            <w:tcW w:type="dxa" w:w="2033"/>
            <w:vAlign w:val="center"/>
          </w:tcPr>
          <w:p>
            <w:r/>
            <w:r>
              <w:rPr>
                <w:rFonts w:ascii="Aptos" w:hAnsi="Aptos"/>
                <w:b w:val="0"/>
                <w:color w:val="17324D"/>
                <w:sz w:val="16"/>
              </w:rPr>
              <w:t>62.70</w:t>
            </w:r>
          </w:p>
        </w:tc>
      </w:tr>
      <w:tr>
        <w:tc>
          <w:tcPr>
            <w:tcW w:type="dxa" w:w="2033"/>
            <w:vAlign w:val="center"/>
            <w:shd w:fill="F3F7F9"/>
          </w:tcPr>
          <w:p>
            <w:r/>
            <w:r>
              <w:rPr>
                <w:rFonts w:ascii="Aptos" w:hAnsi="Aptos"/>
                <w:b w:val="0"/>
                <w:color w:val="17324D"/>
                <w:sz w:val="16"/>
              </w:rPr>
              <w:t>2019</w:t>
            </w:r>
          </w:p>
        </w:tc>
        <w:tc>
          <w:tcPr>
            <w:tcW w:type="dxa" w:w="2033"/>
            <w:vAlign w:val="center"/>
            <w:shd w:fill="F3F7F9"/>
          </w:tcPr>
          <w:p>
            <w:r/>
            <w:r>
              <w:rPr>
                <w:rFonts w:ascii="Aptos" w:hAnsi="Aptos"/>
                <w:b w:val="0"/>
                <w:color w:val="17324D"/>
                <w:sz w:val="16"/>
              </w:rPr>
              <w:t>281</w:t>
            </w:r>
          </w:p>
        </w:tc>
        <w:tc>
          <w:tcPr>
            <w:tcW w:type="dxa" w:w="2033"/>
            <w:vAlign w:val="center"/>
            <w:shd w:fill="F3F7F9"/>
          </w:tcPr>
          <w:p>
            <w:r/>
            <w:r>
              <w:rPr>
                <w:rFonts w:ascii="Aptos" w:hAnsi="Aptos"/>
                <w:b w:val="0"/>
                <w:color w:val="17324D"/>
                <w:sz w:val="16"/>
              </w:rPr>
              <w:t>Partial calendar year</w:t>
            </w:r>
          </w:p>
        </w:tc>
        <w:tc>
          <w:tcPr>
            <w:tcW w:type="dxa" w:w="2033"/>
            <w:vAlign w:val="center"/>
            <w:shd w:fill="F3F7F9"/>
          </w:tcPr>
          <w:p>
            <w:r/>
            <w:r>
              <w:rPr>
                <w:rFonts w:ascii="Aptos" w:hAnsi="Aptos"/>
                <w:b w:val="0"/>
                <w:color w:val="17324D"/>
                <w:sz w:val="16"/>
              </w:rPr>
              <w:t>17,085.96</w:t>
            </w:r>
          </w:p>
        </w:tc>
        <w:tc>
          <w:tcPr>
            <w:tcW w:type="dxa" w:w="2033"/>
            <w:vAlign w:val="center"/>
            <w:shd w:fill="F3F7F9"/>
          </w:tcPr>
          <w:p>
            <w:r/>
            <w:r>
              <w:rPr>
                <w:rFonts w:ascii="Aptos" w:hAnsi="Aptos"/>
                <w:b w:val="0"/>
                <w:color w:val="17324D"/>
                <w:sz w:val="16"/>
              </w:rPr>
              <w:t>60.80</w:t>
            </w:r>
          </w:p>
        </w:tc>
      </w:tr>
    </w:tbl>
    <w:p>
      <w:pPr>
        <w:spacing w:after="0"/>
      </w:pPr>
    </w:p>
    <w:p>
      <w:r>
        <w:t>Among complete years 2015–2018, annual totals fluctuate rather than showing a consistent upward or downward pattern: 2016 rises, 2017 falls, and 2018 rises again. The 2014 and 2019 totals are coverage-labelled and should not be compared as complete calendar years.</w:t>
      </w:r>
    </w:p>
    <w:p>
      <w:pPr>
        <w:pStyle w:val="Heading2"/>
      </w:pPr>
      <w:r>
        <w:t>9.4 Weekday demand</w:t>
      </w:r>
    </w:p>
    <w:p>
      <w:pPr>
        <w:jc w:val="center"/>
      </w:pPr>
      <w:r>
        <w:drawing>
          <wp:inline xmlns:a="http://schemas.openxmlformats.org/drawingml/2006/main" xmlns:pic="http://schemas.openxmlformats.org/drawingml/2006/picture">
            <wp:extent cx="6126480" cy="3403600"/>
            <wp:docPr id="4" name="Picture 4"/>
            <wp:cNvGraphicFramePr>
              <a:graphicFrameLocks noChangeAspect="1"/>
            </wp:cNvGraphicFramePr>
            <a:graphic>
              <a:graphicData uri="http://schemas.openxmlformats.org/drawingml/2006/picture">
                <pic:pic>
                  <pic:nvPicPr>
                    <pic:cNvPr id="0" name="03_Weekday_Demand.png"/>
                    <pic:cNvPicPr/>
                  </pic:nvPicPr>
                  <pic:blipFill>
                    <a:blip r:embed="rId14"/>
                    <a:stretch>
                      <a:fillRect/>
                    </a:stretch>
                  </pic:blipFill>
                  <pic:spPr>
                    <a:xfrm>
                      <a:off x="0" y="0"/>
                      <a:ext cx="6126480" cy="3403600"/>
                    </a:xfrm>
                    <a:prstGeom prst="rect"/>
                  </pic:spPr>
                </pic:pic>
              </a:graphicData>
            </a:graphic>
          </wp:inline>
        </w:drawing>
      </w:r>
    </w:p>
    <w:p>
      <w:pPr>
        <w:spacing w:after="160"/>
        <w:jc w:val="center"/>
      </w:pPr>
      <w:r>
        <w:rPr>
          <w:i/>
          <w:color w:val="526777"/>
          <w:sz w:val="16"/>
        </w:rPr>
        <w:t>Figure 4. Average total quantity per observed day by weekday.</w:t>
      </w:r>
    </w:p>
    <w:p>
      <w:r>
        <w:t>Saturday has the highest weekday average (65.67), while Thursday has the lowest (57.18). The Saturday average is approximately 14.85% higher. This finding can prompt an operational review, but the analysis does not establish why the difference occurs.</w:t>
      </w:r>
    </w:p>
    <w:p>
      <w:pPr>
        <w:pStyle w:val="Heading2"/>
      </w:pPr>
      <w:r>
        <w:t>9.5 Hour-of-day pattern</w:t>
      </w:r>
    </w:p>
    <w:p>
      <w:pPr>
        <w:jc w:val="center"/>
      </w:pPr>
      <w:r>
        <w:drawing>
          <wp:inline xmlns:a="http://schemas.openxmlformats.org/drawingml/2006/main" xmlns:pic="http://schemas.openxmlformats.org/drawingml/2006/picture">
            <wp:extent cx="6309360" cy="3305253"/>
            <wp:docPr id="5" name="Picture 5"/>
            <wp:cNvGraphicFramePr>
              <a:graphicFrameLocks noChangeAspect="1"/>
            </wp:cNvGraphicFramePr>
            <a:graphic>
              <a:graphicData uri="http://schemas.openxmlformats.org/drawingml/2006/picture">
                <pic:pic>
                  <pic:nvPicPr>
                    <pic:cNvPr id="0" name="04_Hourly_Demand.png"/>
                    <pic:cNvPicPr/>
                  </pic:nvPicPr>
                  <pic:blipFill>
                    <a:blip r:embed="rId15"/>
                    <a:stretch>
                      <a:fillRect/>
                    </a:stretch>
                  </pic:blipFill>
                  <pic:spPr>
                    <a:xfrm>
                      <a:off x="0" y="0"/>
                      <a:ext cx="6309360" cy="3305253"/>
                    </a:xfrm>
                    <a:prstGeom prst="rect"/>
                  </pic:spPr>
                </pic:pic>
              </a:graphicData>
            </a:graphic>
          </wp:inline>
        </w:drawing>
      </w:r>
    </w:p>
    <w:p>
      <w:pPr>
        <w:spacing w:after="160"/>
        <w:jc w:val="center"/>
      </w:pPr>
      <w:r>
        <w:rPr>
          <w:i/>
          <w:color w:val="526777"/>
          <w:sz w:val="16"/>
        </w:rPr>
        <w:t>Figure 5. Average quantity by hour from the supplied hourly file.</w:t>
      </w:r>
    </w:p>
    <w:p>
      <w:r>
        <w:t>The highest average occurs at 19:00 (5.38 quantity per observed hour). Overnight zero or near-zero values may reflect pharmacy operating hours rather than absence of patient need. Hourly findings should therefore be used cautiously for staffing review, not as a clinical demand estimate.</w:t>
      </w:r>
    </w:p>
    <w:p>
      <w:pPr>
        <w:pStyle w:val="Heading2"/>
      </w:pPr>
      <w:r>
        <w:t>9.6 Variability and intermittent demand</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shd w:fill="17324D"/>
          </w:tcPr>
          <w:p>
            <w:r/>
            <w:r>
              <w:rPr>
                <w:rFonts w:ascii="Aptos" w:hAnsi="Aptos"/>
                <w:b/>
                <w:color w:val="FFFFFF"/>
                <w:sz w:val="16"/>
              </w:rPr>
              <w:t>ATC</w:t>
            </w:r>
          </w:p>
        </w:tc>
        <w:tc>
          <w:tcPr>
            <w:tcW w:type="dxa" w:w="1694"/>
            <w:vAlign w:val="center"/>
            <w:shd w:fill="17324D"/>
          </w:tcPr>
          <w:p>
            <w:r/>
            <w:r>
              <w:rPr>
                <w:rFonts w:ascii="Aptos" w:hAnsi="Aptos"/>
                <w:b/>
                <w:color w:val="FFFFFF"/>
                <w:sz w:val="16"/>
              </w:rPr>
              <w:t>Average/day</w:t>
            </w:r>
          </w:p>
        </w:tc>
        <w:tc>
          <w:tcPr>
            <w:tcW w:type="dxa" w:w="1694"/>
            <w:vAlign w:val="center"/>
            <w:shd w:fill="17324D"/>
          </w:tcPr>
          <w:p>
            <w:r/>
            <w:r>
              <w:rPr>
                <w:rFonts w:ascii="Aptos" w:hAnsi="Aptos"/>
                <w:b/>
                <w:color w:val="FFFFFF"/>
                <w:sz w:val="16"/>
              </w:rPr>
              <w:t>Std dev</w:t>
            </w:r>
          </w:p>
        </w:tc>
        <w:tc>
          <w:tcPr>
            <w:tcW w:type="dxa" w:w="1694"/>
            <w:vAlign w:val="center"/>
            <w:shd w:fill="17324D"/>
          </w:tcPr>
          <w:p>
            <w:r/>
            <w:r>
              <w:rPr>
                <w:rFonts w:ascii="Aptos" w:hAnsi="Aptos"/>
                <w:b/>
                <w:color w:val="FFFFFF"/>
                <w:sz w:val="16"/>
              </w:rPr>
              <w:t>95th percentile</w:t>
            </w:r>
          </w:p>
        </w:tc>
        <w:tc>
          <w:tcPr>
            <w:tcW w:type="dxa" w:w="1694"/>
            <w:vAlign w:val="center"/>
            <w:shd w:fill="17324D"/>
          </w:tcPr>
          <w:p>
            <w:r/>
            <w:r>
              <w:rPr>
                <w:rFonts w:ascii="Aptos" w:hAnsi="Aptos"/>
                <w:b/>
                <w:color w:val="FFFFFF"/>
                <w:sz w:val="16"/>
              </w:rPr>
              <w:t>CV</w:t>
            </w:r>
          </w:p>
        </w:tc>
        <w:tc>
          <w:tcPr>
            <w:tcW w:type="dxa" w:w="1694"/>
            <w:vAlign w:val="center"/>
            <w:shd w:fill="17324D"/>
          </w:tcPr>
          <w:p>
            <w:r/>
            <w:r>
              <w:rPr>
                <w:rFonts w:ascii="Aptos" w:hAnsi="Aptos"/>
                <w:b/>
                <w:color w:val="FFFFFF"/>
                <w:sz w:val="16"/>
              </w:rPr>
              <w:t>Zero-day %</w:t>
            </w:r>
          </w:p>
        </w:tc>
      </w:tr>
      <w:tr>
        <w:tc>
          <w:tcPr>
            <w:tcW w:type="dxa" w:w="1694"/>
            <w:vAlign w:val="center"/>
          </w:tcPr>
          <w:p>
            <w:r/>
            <w:r>
              <w:rPr>
                <w:rFonts w:ascii="Aptos" w:hAnsi="Aptos"/>
                <w:b w:val="0"/>
                <w:color w:val="17324D"/>
                <w:sz w:val="16"/>
              </w:rPr>
              <w:t>N02BE</w:t>
            </w:r>
          </w:p>
        </w:tc>
        <w:tc>
          <w:tcPr>
            <w:tcW w:type="dxa" w:w="1694"/>
            <w:vAlign w:val="center"/>
          </w:tcPr>
          <w:p>
            <w:r/>
            <w:r>
              <w:rPr>
                <w:rFonts w:ascii="Aptos" w:hAnsi="Aptos"/>
                <w:b w:val="0"/>
                <w:color w:val="17324D"/>
                <w:sz w:val="16"/>
              </w:rPr>
              <w:t>29.92</w:t>
            </w:r>
          </w:p>
        </w:tc>
        <w:tc>
          <w:tcPr>
            <w:tcW w:type="dxa" w:w="1694"/>
            <w:vAlign w:val="center"/>
          </w:tcPr>
          <w:p>
            <w:r/>
            <w:r>
              <w:rPr>
                <w:rFonts w:ascii="Aptos" w:hAnsi="Aptos"/>
                <w:b w:val="0"/>
                <w:color w:val="17324D"/>
                <w:sz w:val="16"/>
              </w:rPr>
              <w:t>15.59</w:t>
            </w:r>
          </w:p>
        </w:tc>
        <w:tc>
          <w:tcPr>
            <w:tcW w:type="dxa" w:w="1694"/>
            <w:vAlign w:val="center"/>
          </w:tcPr>
          <w:p>
            <w:r/>
            <w:r>
              <w:rPr>
                <w:rFonts w:ascii="Aptos" w:hAnsi="Aptos"/>
                <w:b w:val="0"/>
                <w:color w:val="17324D"/>
                <w:sz w:val="16"/>
              </w:rPr>
              <w:t>59.94</w:t>
            </w:r>
          </w:p>
        </w:tc>
        <w:tc>
          <w:tcPr>
            <w:tcW w:type="dxa" w:w="1694"/>
            <w:vAlign w:val="center"/>
          </w:tcPr>
          <w:p>
            <w:r/>
            <w:r>
              <w:rPr>
                <w:rFonts w:ascii="Aptos" w:hAnsi="Aptos"/>
                <w:b w:val="0"/>
                <w:color w:val="17324D"/>
                <w:sz w:val="16"/>
              </w:rPr>
              <w:t>0.52</w:t>
            </w:r>
          </w:p>
        </w:tc>
        <w:tc>
          <w:tcPr>
            <w:tcW w:type="dxa" w:w="1694"/>
            <w:vAlign w:val="center"/>
          </w:tcPr>
          <w:p>
            <w:r/>
            <w:r>
              <w:rPr>
                <w:rFonts w:ascii="Aptos" w:hAnsi="Aptos"/>
                <w:b w:val="0"/>
                <w:color w:val="17324D"/>
                <w:sz w:val="16"/>
              </w:rPr>
              <w:t>1.23%</w:t>
            </w:r>
          </w:p>
        </w:tc>
      </w:tr>
      <w:tr>
        <w:tc>
          <w:tcPr>
            <w:tcW w:type="dxa" w:w="1694"/>
            <w:vAlign w:val="center"/>
            <w:shd w:fill="F3F7F9"/>
          </w:tcPr>
          <w:p>
            <w:r/>
            <w:r>
              <w:rPr>
                <w:rFonts w:ascii="Aptos" w:hAnsi="Aptos"/>
                <w:b w:val="0"/>
                <w:color w:val="17324D"/>
                <w:sz w:val="16"/>
              </w:rPr>
              <w:t>N05B</w:t>
            </w:r>
          </w:p>
        </w:tc>
        <w:tc>
          <w:tcPr>
            <w:tcW w:type="dxa" w:w="1694"/>
            <w:vAlign w:val="center"/>
            <w:shd w:fill="F3F7F9"/>
          </w:tcPr>
          <w:p>
            <w:r/>
            <w:r>
              <w:rPr>
                <w:rFonts w:ascii="Aptos" w:hAnsi="Aptos"/>
                <w:b w:val="0"/>
                <w:color w:val="17324D"/>
                <w:sz w:val="16"/>
              </w:rPr>
              <w:t>8.85</w:t>
            </w:r>
          </w:p>
        </w:tc>
        <w:tc>
          <w:tcPr>
            <w:tcW w:type="dxa" w:w="1694"/>
            <w:vAlign w:val="center"/>
            <w:shd w:fill="F3F7F9"/>
          </w:tcPr>
          <w:p>
            <w:r/>
            <w:r>
              <w:rPr>
                <w:rFonts w:ascii="Aptos" w:hAnsi="Aptos"/>
                <w:b w:val="0"/>
                <w:color w:val="17324D"/>
                <w:sz w:val="16"/>
              </w:rPr>
              <w:t>5.61</w:t>
            </w:r>
          </w:p>
        </w:tc>
        <w:tc>
          <w:tcPr>
            <w:tcW w:type="dxa" w:w="1694"/>
            <w:vAlign w:val="center"/>
            <w:shd w:fill="F3F7F9"/>
          </w:tcPr>
          <w:p>
            <w:r/>
            <w:r>
              <w:rPr>
                <w:rFonts w:ascii="Aptos" w:hAnsi="Aptos"/>
                <w:b w:val="0"/>
                <w:color w:val="17324D"/>
                <w:sz w:val="16"/>
              </w:rPr>
              <w:t>19.00</w:t>
            </w:r>
          </w:p>
        </w:tc>
        <w:tc>
          <w:tcPr>
            <w:tcW w:type="dxa" w:w="1694"/>
            <w:vAlign w:val="center"/>
            <w:shd w:fill="F3F7F9"/>
          </w:tcPr>
          <w:p>
            <w:r/>
            <w:r>
              <w:rPr>
                <w:rFonts w:ascii="Aptos" w:hAnsi="Aptos"/>
                <w:b w:val="0"/>
                <w:color w:val="17324D"/>
                <w:sz w:val="16"/>
              </w:rPr>
              <w:t>0.63</w:t>
            </w:r>
          </w:p>
        </w:tc>
        <w:tc>
          <w:tcPr>
            <w:tcW w:type="dxa" w:w="1694"/>
            <w:vAlign w:val="center"/>
            <w:shd w:fill="F3F7F9"/>
          </w:tcPr>
          <w:p>
            <w:r/>
            <w:r>
              <w:rPr>
                <w:rFonts w:ascii="Aptos" w:hAnsi="Aptos"/>
                <w:b w:val="0"/>
                <w:color w:val="17324D"/>
                <w:sz w:val="16"/>
              </w:rPr>
              <w:t>2.04%</w:t>
            </w:r>
          </w:p>
        </w:tc>
      </w:tr>
      <w:tr>
        <w:tc>
          <w:tcPr>
            <w:tcW w:type="dxa" w:w="1694"/>
            <w:vAlign w:val="center"/>
          </w:tcPr>
          <w:p>
            <w:r/>
            <w:r>
              <w:rPr>
                <w:rFonts w:ascii="Aptos" w:hAnsi="Aptos"/>
                <w:b w:val="0"/>
                <w:color w:val="17324D"/>
                <w:sz w:val="16"/>
              </w:rPr>
              <w:t>R03</w:t>
            </w:r>
          </w:p>
        </w:tc>
        <w:tc>
          <w:tcPr>
            <w:tcW w:type="dxa" w:w="1694"/>
            <w:vAlign w:val="center"/>
          </w:tcPr>
          <w:p>
            <w:r/>
            <w:r>
              <w:rPr>
                <w:rFonts w:ascii="Aptos" w:hAnsi="Aptos"/>
                <w:b w:val="0"/>
                <w:color w:val="17324D"/>
                <w:sz w:val="16"/>
              </w:rPr>
              <w:t>5.51</w:t>
            </w:r>
          </w:p>
        </w:tc>
        <w:tc>
          <w:tcPr>
            <w:tcW w:type="dxa" w:w="1694"/>
            <w:vAlign w:val="center"/>
          </w:tcPr>
          <w:p>
            <w:r/>
            <w:r>
              <w:rPr>
                <w:rFonts w:ascii="Aptos" w:hAnsi="Aptos"/>
                <w:b w:val="0"/>
                <w:color w:val="17324D"/>
                <w:sz w:val="16"/>
              </w:rPr>
              <w:t>6.43</w:t>
            </w:r>
          </w:p>
        </w:tc>
        <w:tc>
          <w:tcPr>
            <w:tcW w:type="dxa" w:w="1694"/>
            <w:vAlign w:val="center"/>
          </w:tcPr>
          <w:p>
            <w:r/>
            <w:r>
              <w:rPr>
                <w:rFonts w:ascii="Aptos" w:hAnsi="Aptos"/>
                <w:b w:val="0"/>
                <w:color w:val="17324D"/>
                <w:sz w:val="16"/>
              </w:rPr>
              <w:t>20.00</w:t>
            </w:r>
          </w:p>
        </w:tc>
        <w:tc>
          <w:tcPr>
            <w:tcW w:type="dxa" w:w="1694"/>
            <w:vAlign w:val="center"/>
          </w:tcPr>
          <w:p>
            <w:r/>
            <w:r>
              <w:rPr>
                <w:rFonts w:ascii="Aptos" w:hAnsi="Aptos"/>
                <w:b w:val="0"/>
                <w:color w:val="17324D"/>
                <w:sz w:val="16"/>
              </w:rPr>
              <w:t>1.17</w:t>
            </w:r>
          </w:p>
        </w:tc>
        <w:tc>
          <w:tcPr>
            <w:tcW w:type="dxa" w:w="1694"/>
            <w:vAlign w:val="center"/>
          </w:tcPr>
          <w:p>
            <w:r/>
            <w:r>
              <w:rPr>
                <w:rFonts w:ascii="Aptos" w:hAnsi="Aptos"/>
                <w:b w:val="0"/>
                <w:color w:val="17324D"/>
                <w:sz w:val="16"/>
              </w:rPr>
              <w:t>22.98%</w:t>
            </w:r>
          </w:p>
        </w:tc>
      </w:tr>
      <w:tr>
        <w:tc>
          <w:tcPr>
            <w:tcW w:type="dxa" w:w="1694"/>
            <w:vAlign w:val="center"/>
            <w:shd w:fill="F3F7F9"/>
          </w:tcPr>
          <w:p>
            <w:r/>
            <w:r>
              <w:rPr>
                <w:rFonts w:ascii="Aptos" w:hAnsi="Aptos"/>
                <w:b w:val="0"/>
                <w:color w:val="17324D"/>
                <w:sz w:val="16"/>
              </w:rPr>
              <w:t>M01AB</w:t>
            </w:r>
          </w:p>
        </w:tc>
        <w:tc>
          <w:tcPr>
            <w:tcW w:type="dxa" w:w="1694"/>
            <w:vAlign w:val="center"/>
            <w:shd w:fill="F3F7F9"/>
          </w:tcPr>
          <w:p>
            <w:r/>
            <w:r>
              <w:rPr>
                <w:rFonts w:ascii="Aptos" w:hAnsi="Aptos"/>
                <w:b w:val="0"/>
                <w:color w:val="17324D"/>
                <w:sz w:val="16"/>
              </w:rPr>
              <w:t>5.03</w:t>
            </w:r>
          </w:p>
        </w:tc>
        <w:tc>
          <w:tcPr>
            <w:tcW w:type="dxa" w:w="1694"/>
            <w:vAlign w:val="center"/>
            <w:shd w:fill="F3F7F9"/>
          </w:tcPr>
          <w:p>
            <w:r/>
            <w:r>
              <w:rPr>
                <w:rFonts w:ascii="Aptos" w:hAnsi="Aptos"/>
                <w:b w:val="0"/>
                <w:color w:val="17324D"/>
                <w:sz w:val="16"/>
              </w:rPr>
              <w:t>2.74</w:t>
            </w:r>
          </w:p>
        </w:tc>
        <w:tc>
          <w:tcPr>
            <w:tcW w:type="dxa" w:w="1694"/>
            <w:vAlign w:val="center"/>
            <w:shd w:fill="F3F7F9"/>
          </w:tcPr>
          <w:p>
            <w:r/>
            <w:r>
              <w:rPr>
                <w:rFonts w:ascii="Aptos" w:hAnsi="Aptos"/>
                <w:b w:val="0"/>
                <w:color w:val="17324D"/>
                <w:sz w:val="16"/>
              </w:rPr>
              <w:t>10.00</w:t>
            </w:r>
          </w:p>
        </w:tc>
        <w:tc>
          <w:tcPr>
            <w:tcW w:type="dxa" w:w="1694"/>
            <w:vAlign w:val="center"/>
            <w:shd w:fill="F3F7F9"/>
          </w:tcPr>
          <w:p>
            <w:r/>
            <w:r>
              <w:rPr>
                <w:rFonts w:ascii="Aptos" w:hAnsi="Aptos"/>
                <w:b w:val="0"/>
                <w:color w:val="17324D"/>
                <w:sz w:val="16"/>
              </w:rPr>
              <w:t>0.54</w:t>
            </w:r>
          </w:p>
        </w:tc>
        <w:tc>
          <w:tcPr>
            <w:tcW w:type="dxa" w:w="1694"/>
            <w:vAlign w:val="center"/>
            <w:shd w:fill="F3F7F9"/>
          </w:tcPr>
          <w:p>
            <w:r/>
            <w:r>
              <w:rPr>
                <w:rFonts w:ascii="Aptos" w:hAnsi="Aptos"/>
                <w:b w:val="0"/>
                <w:color w:val="17324D"/>
                <w:sz w:val="16"/>
              </w:rPr>
              <w:t>1.90%</w:t>
            </w:r>
          </w:p>
        </w:tc>
      </w:tr>
      <w:tr>
        <w:tc>
          <w:tcPr>
            <w:tcW w:type="dxa" w:w="1694"/>
            <w:vAlign w:val="center"/>
          </w:tcPr>
          <w:p>
            <w:r/>
            <w:r>
              <w:rPr>
                <w:rFonts w:ascii="Aptos" w:hAnsi="Aptos"/>
                <w:b w:val="0"/>
                <w:color w:val="17324D"/>
                <w:sz w:val="16"/>
              </w:rPr>
              <w:t>M01AE</w:t>
            </w:r>
          </w:p>
        </w:tc>
        <w:tc>
          <w:tcPr>
            <w:tcW w:type="dxa" w:w="1694"/>
            <w:vAlign w:val="center"/>
          </w:tcPr>
          <w:p>
            <w:r/>
            <w:r>
              <w:rPr>
                <w:rFonts w:ascii="Aptos" w:hAnsi="Aptos"/>
                <w:b w:val="0"/>
                <w:color w:val="17324D"/>
                <w:sz w:val="16"/>
              </w:rPr>
              <w:t>3.90</w:t>
            </w:r>
          </w:p>
        </w:tc>
        <w:tc>
          <w:tcPr>
            <w:tcW w:type="dxa" w:w="1694"/>
            <w:vAlign w:val="center"/>
          </w:tcPr>
          <w:p>
            <w:r/>
            <w:r>
              <w:rPr>
                <w:rFonts w:ascii="Aptos" w:hAnsi="Aptos"/>
                <w:b w:val="0"/>
                <w:color w:val="17324D"/>
                <w:sz w:val="16"/>
              </w:rPr>
              <w:t>2.13</w:t>
            </w:r>
          </w:p>
        </w:tc>
        <w:tc>
          <w:tcPr>
            <w:tcW w:type="dxa" w:w="1694"/>
            <w:vAlign w:val="center"/>
          </w:tcPr>
          <w:p>
            <w:r/>
            <w:r>
              <w:rPr>
                <w:rFonts w:ascii="Aptos" w:hAnsi="Aptos"/>
                <w:b w:val="0"/>
                <w:color w:val="17324D"/>
                <w:sz w:val="16"/>
              </w:rPr>
              <w:t>7.66</w:t>
            </w:r>
          </w:p>
        </w:tc>
        <w:tc>
          <w:tcPr>
            <w:tcW w:type="dxa" w:w="1694"/>
            <w:vAlign w:val="center"/>
          </w:tcPr>
          <w:p>
            <w:r/>
            <w:r>
              <w:rPr>
                <w:rFonts w:ascii="Aptos" w:hAnsi="Aptos"/>
                <w:b w:val="0"/>
                <w:color w:val="17324D"/>
                <w:sz w:val="16"/>
              </w:rPr>
              <w:t>0.55</w:t>
            </w:r>
          </w:p>
        </w:tc>
        <w:tc>
          <w:tcPr>
            <w:tcW w:type="dxa" w:w="1694"/>
            <w:vAlign w:val="center"/>
          </w:tcPr>
          <w:p>
            <w:r/>
            <w:r>
              <w:rPr>
                <w:rFonts w:ascii="Aptos" w:hAnsi="Aptos"/>
                <w:b w:val="0"/>
                <w:color w:val="17324D"/>
                <w:sz w:val="16"/>
              </w:rPr>
              <w:t>1.71%</w:t>
            </w:r>
          </w:p>
        </w:tc>
      </w:tr>
      <w:tr>
        <w:tc>
          <w:tcPr>
            <w:tcW w:type="dxa" w:w="1694"/>
            <w:vAlign w:val="center"/>
            <w:shd w:fill="F3F7F9"/>
          </w:tcPr>
          <w:p>
            <w:r/>
            <w:r>
              <w:rPr>
                <w:rFonts w:ascii="Aptos" w:hAnsi="Aptos"/>
                <w:b w:val="0"/>
                <w:color w:val="17324D"/>
                <w:sz w:val="16"/>
              </w:rPr>
              <w:t>N02BA</w:t>
            </w:r>
          </w:p>
        </w:tc>
        <w:tc>
          <w:tcPr>
            <w:tcW w:type="dxa" w:w="1694"/>
            <w:vAlign w:val="center"/>
            <w:shd w:fill="F3F7F9"/>
          </w:tcPr>
          <w:p>
            <w:r/>
            <w:r>
              <w:rPr>
                <w:rFonts w:ascii="Aptos" w:hAnsi="Aptos"/>
                <w:b w:val="0"/>
                <w:color w:val="17324D"/>
                <w:sz w:val="16"/>
              </w:rPr>
              <w:t>3.88</w:t>
            </w:r>
          </w:p>
        </w:tc>
        <w:tc>
          <w:tcPr>
            <w:tcW w:type="dxa" w:w="1694"/>
            <w:vAlign w:val="center"/>
            <w:shd w:fill="F3F7F9"/>
          </w:tcPr>
          <w:p>
            <w:r/>
            <w:r>
              <w:rPr>
                <w:rFonts w:ascii="Aptos" w:hAnsi="Aptos"/>
                <w:b w:val="0"/>
                <w:color w:val="17324D"/>
                <w:sz w:val="16"/>
              </w:rPr>
              <w:t>2.38</w:t>
            </w:r>
          </w:p>
        </w:tc>
        <w:tc>
          <w:tcPr>
            <w:tcW w:type="dxa" w:w="1694"/>
            <w:vAlign w:val="center"/>
            <w:shd w:fill="F3F7F9"/>
          </w:tcPr>
          <w:p>
            <w:r/>
            <w:r>
              <w:rPr>
                <w:rFonts w:ascii="Aptos" w:hAnsi="Aptos"/>
                <w:b w:val="0"/>
                <w:color w:val="17324D"/>
                <w:sz w:val="16"/>
              </w:rPr>
              <w:t>8.00</w:t>
            </w:r>
          </w:p>
        </w:tc>
        <w:tc>
          <w:tcPr>
            <w:tcW w:type="dxa" w:w="1694"/>
            <w:vAlign w:val="center"/>
            <w:shd w:fill="F3F7F9"/>
          </w:tcPr>
          <w:p>
            <w:r/>
            <w:r>
              <w:rPr>
                <w:rFonts w:ascii="Aptos" w:hAnsi="Aptos"/>
                <w:b w:val="0"/>
                <w:color w:val="17324D"/>
                <w:sz w:val="16"/>
              </w:rPr>
              <w:t>0.61</w:t>
            </w:r>
          </w:p>
        </w:tc>
        <w:tc>
          <w:tcPr>
            <w:tcW w:type="dxa" w:w="1694"/>
            <w:vAlign w:val="center"/>
            <w:shd w:fill="F3F7F9"/>
          </w:tcPr>
          <w:p>
            <w:r/>
            <w:r>
              <w:rPr>
                <w:rFonts w:ascii="Aptos" w:hAnsi="Aptos"/>
                <w:b w:val="0"/>
                <w:color w:val="17324D"/>
                <w:sz w:val="16"/>
              </w:rPr>
              <w:t>3.70%</w:t>
            </w:r>
          </w:p>
        </w:tc>
      </w:tr>
      <w:tr>
        <w:tc>
          <w:tcPr>
            <w:tcW w:type="dxa" w:w="1694"/>
            <w:vAlign w:val="center"/>
          </w:tcPr>
          <w:p>
            <w:r/>
            <w:r>
              <w:rPr>
                <w:rFonts w:ascii="Aptos" w:hAnsi="Aptos"/>
                <w:b w:val="0"/>
                <w:color w:val="17324D"/>
                <w:sz w:val="16"/>
              </w:rPr>
              <w:t>R06</w:t>
            </w:r>
          </w:p>
        </w:tc>
        <w:tc>
          <w:tcPr>
            <w:tcW w:type="dxa" w:w="1694"/>
            <w:vAlign w:val="center"/>
          </w:tcPr>
          <w:p>
            <w:r/>
            <w:r>
              <w:rPr>
                <w:rFonts w:ascii="Aptos" w:hAnsi="Aptos"/>
                <w:b w:val="0"/>
                <w:color w:val="17324D"/>
                <w:sz w:val="16"/>
              </w:rPr>
              <w:t>2.90</w:t>
            </w:r>
          </w:p>
        </w:tc>
        <w:tc>
          <w:tcPr>
            <w:tcW w:type="dxa" w:w="1694"/>
            <w:vAlign w:val="center"/>
          </w:tcPr>
          <w:p>
            <w:r/>
            <w:r>
              <w:rPr>
                <w:rFonts w:ascii="Aptos" w:hAnsi="Aptos"/>
                <w:b w:val="0"/>
                <w:color w:val="17324D"/>
                <w:sz w:val="16"/>
              </w:rPr>
              <w:t>2.42</w:t>
            </w:r>
          </w:p>
        </w:tc>
        <w:tc>
          <w:tcPr>
            <w:tcW w:type="dxa" w:w="1694"/>
            <w:vAlign w:val="center"/>
          </w:tcPr>
          <w:p>
            <w:r/>
            <w:r>
              <w:rPr>
                <w:rFonts w:ascii="Aptos" w:hAnsi="Aptos"/>
                <w:b w:val="0"/>
                <w:color w:val="17324D"/>
                <w:sz w:val="16"/>
              </w:rPr>
              <w:t>8.00</w:t>
            </w:r>
          </w:p>
        </w:tc>
        <w:tc>
          <w:tcPr>
            <w:tcW w:type="dxa" w:w="1694"/>
            <w:vAlign w:val="center"/>
          </w:tcPr>
          <w:p>
            <w:r/>
            <w:r>
              <w:rPr>
                <w:rFonts w:ascii="Aptos" w:hAnsi="Aptos"/>
                <w:b w:val="0"/>
                <w:color w:val="17324D"/>
                <w:sz w:val="16"/>
              </w:rPr>
              <w:t>0.83</w:t>
            </w:r>
          </w:p>
        </w:tc>
        <w:tc>
          <w:tcPr>
            <w:tcW w:type="dxa" w:w="1694"/>
            <w:vAlign w:val="center"/>
          </w:tcPr>
          <w:p>
            <w:r/>
            <w:r>
              <w:rPr>
                <w:rFonts w:ascii="Aptos" w:hAnsi="Aptos"/>
                <w:b w:val="0"/>
                <w:color w:val="17324D"/>
                <w:sz w:val="16"/>
              </w:rPr>
              <w:t>12.16%</w:t>
            </w:r>
          </w:p>
        </w:tc>
      </w:tr>
      <w:tr>
        <w:tc>
          <w:tcPr>
            <w:tcW w:type="dxa" w:w="1694"/>
            <w:vAlign w:val="center"/>
            <w:shd w:fill="F3F7F9"/>
          </w:tcPr>
          <w:p>
            <w:r/>
            <w:r>
              <w:rPr>
                <w:rFonts w:ascii="Aptos" w:hAnsi="Aptos"/>
                <w:b w:val="0"/>
                <w:color w:val="17324D"/>
                <w:sz w:val="16"/>
              </w:rPr>
              <w:t>N05C</w:t>
            </w:r>
          </w:p>
        </w:tc>
        <w:tc>
          <w:tcPr>
            <w:tcW w:type="dxa" w:w="1694"/>
            <w:vAlign w:val="center"/>
            <w:shd w:fill="F3F7F9"/>
          </w:tcPr>
          <w:p>
            <w:r/>
            <w:r>
              <w:rPr>
                <w:rFonts w:ascii="Aptos" w:hAnsi="Aptos"/>
                <w:b w:val="0"/>
                <w:color w:val="17324D"/>
                <w:sz w:val="16"/>
              </w:rPr>
              <w:t>0.59</w:t>
            </w:r>
          </w:p>
        </w:tc>
        <w:tc>
          <w:tcPr>
            <w:tcW w:type="dxa" w:w="1694"/>
            <w:vAlign w:val="center"/>
            <w:shd w:fill="F3F7F9"/>
          </w:tcPr>
          <w:p>
            <w:r/>
            <w:r>
              <w:rPr>
                <w:rFonts w:ascii="Aptos" w:hAnsi="Aptos"/>
                <w:b w:val="0"/>
                <w:color w:val="17324D"/>
                <w:sz w:val="16"/>
              </w:rPr>
              <w:t>1.09</w:t>
            </w:r>
          </w:p>
        </w:tc>
        <w:tc>
          <w:tcPr>
            <w:tcW w:type="dxa" w:w="1694"/>
            <w:vAlign w:val="center"/>
            <w:shd w:fill="F3F7F9"/>
          </w:tcPr>
          <w:p>
            <w:r/>
            <w:r>
              <w:rPr>
                <w:rFonts w:ascii="Aptos" w:hAnsi="Aptos"/>
                <w:b w:val="0"/>
                <w:color w:val="17324D"/>
                <w:sz w:val="16"/>
              </w:rPr>
              <w:t>3.00</w:t>
            </w:r>
          </w:p>
        </w:tc>
        <w:tc>
          <w:tcPr>
            <w:tcW w:type="dxa" w:w="1694"/>
            <w:vAlign w:val="center"/>
            <w:shd w:fill="F3F7F9"/>
          </w:tcPr>
          <w:p>
            <w:r/>
            <w:r>
              <w:rPr>
                <w:rFonts w:ascii="Aptos" w:hAnsi="Aptos"/>
                <w:b w:val="0"/>
                <w:color w:val="17324D"/>
                <w:sz w:val="16"/>
              </w:rPr>
              <w:t>1.84</w:t>
            </w:r>
          </w:p>
        </w:tc>
        <w:tc>
          <w:tcPr>
            <w:tcW w:type="dxa" w:w="1694"/>
            <w:vAlign w:val="center"/>
            <w:shd w:fill="F3F7F9"/>
          </w:tcPr>
          <w:p>
            <w:r/>
            <w:r>
              <w:rPr>
                <w:rFonts w:ascii="Aptos" w:hAnsi="Aptos"/>
                <w:b w:val="0"/>
                <w:color w:val="17324D"/>
                <w:sz w:val="16"/>
              </w:rPr>
              <w:t>67.90%</w:t>
            </w:r>
          </w:p>
        </w:tc>
      </w:tr>
    </w:tbl>
    <w:p>
      <w:pPr>
        <w:spacing w:after="0"/>
      </w:pPr>
    </w:p>
    <w:p>
      <w:r>
        <w:t>N05C has zero quantity on 67.90% of days and R03 on 22.98%. Their simple daily averages hide many zero observations. The 95th percentile describes a high historical day, but it is not automatically a safety-stock target.</w:t>
      </w:r>
    </w:p>
    <w:p>
      <w:pPr>
        <w:pStyle w:val="Heading1"/>
      </w:pPr>
      <w:r>
        <w:t>10. Inventory-Planning Recommendations</w:t>
      </w:r>
    </w:p>
    <w:p>
      <w:pPr>
        <w:pStyle w:val="Heading2"/>
      </w:pPr>
      <w:r>
        <w:t>Prioritise availability review for high-share categories</w:t>
      </w:r>
    </w:p>
    <w:p>
      <w:r>
        <w:t>Begin with N02BE because it accounts for 49.38% of historical quantity, then review N05B and R03. Use this as a review priority, not a purchase quantity.</w:t>
      </w:r>
    </w:p>
    <w:p>
      <w:pPr>
        <w:pStyle w:val="Heading2"/>
      </w:pPr>
      <w:r>
        <w:t>Use complete-month planning views</w:t>
      </w:r>
    </w:p>
    <w:p>
      <w:r>
        <w:t>Use the 68 complete months for monthly comparisons and keep partial periods labelled. Do not compare eight days of October 2019 with a full month.</w:t>
      </w:r>
    </w:p>
    <w:p>
      <w:pPr>
        <w:pStyle w:val="Heading2"/>
      </w:pPr>
      <w:r>
        <w:t>Treat intermittent categories differently</w:t>
      </w:r>
    </w:p>
    <w:p>
      <w:r>
        <w:t>For N05C and R03, review zero-day frequency, variability, pack size and expiry. A simple average alone can hide the demand pattern.</w:t>
      </w:r>
    </w:p>
    <w:p>
      <w:pPr>
        <w:pStyle w:val="Heading2"/>
      </w:pPr>
      <w:r>
        <w:t>Review calendar patterns with the pharmacist</w:t>
      </w:r>
    </w:p>
    <w:p>
      <w:r>
        <w:t>Discuss the higher January average, Saturday average and early-evening hourly peak as historical signals. Confirm whether they still apply before changing stock or staffing.</w:t>
      </w:r>
    </w:p>
    <w:p>
      <w:pPr>
        <w:pStyle w:val="Heading2"/>
      </w:pPr>
      <w:r>
        <w:t>Add operational data before calculating reorder rules</w:t>
      </w:r>
    </w:p>
    <w:p>
      <w:r>
        <w:t>Capture current stock, stock on order, lead time, service-level target, pack size, minimum order quantity, expiry, price and supplier constraints.</w:t>
      </w:r>
    </w:p>
    <w:p>
      <w:pPr>
        <w:pStyle w:val="Heading2"/>
      </w:pPr>
      <w:r>
        <w:t>Improve future data quality</w:t>
      </w:r>
    </w:p>
    <w:p>
      <w:r>
        <w:t>Keep one documented source of truth, automate date-grain reconciliation, record individual product/ATC mappings where permitted, and validate new monthly extracts.</w:t>
      </w:r>
    </w:p>
    <w:p>
      <w:pPr>
        <w:pStyle w:val="Heading2"/>
      </w:pPr>
      <w:r>
        <w:t>Use the dashboard for monitoring, not automatic ordering</w:t>
      </w:r>
    </w:p>
    <w:p>
      <w:r>
        <w:t>Let filters support review by year and category. Any purchase or clinical decision requires authorised pharmacy judgement and current information.</w:t>
      </w:r>
    </w:p>
    <w:tbl>
      <w:tblPr>
        <w:tblW w:type="auto" w:w="0"/>
        <w:jc w:val="center"/>
        <w:tblLook w:firstColumn="1" w:firstRow="1" w:lastColumn="0" w:lastRow="0" w:noHBand="0" w:noVBand="1" w:val="04A0"/>
      </w:tblPr>
      <w:tblGrid>
        <w:gridCol w:w="10166"/>
      </w:tblGrid>
      <w:tr>
        <w:tc>
          <w:tcPr>
            <w:tcW w:type="dxa" w:w="10166"/>
            <w:shd w:fill="FFF2CC"/>
            <w:vAlign w:val="center"/>
          </w:tcPr>
          <w:p>
            <w:pPr>
              <w:spacing w:after="80" w:before="80"/>
            </w:pPr>
            <w:r/>
            <w:r>
              <w:rPr>
                <w:rFonts w:ascii="Aptos" w:hAnsi="Aptos"/>
                <w:b w:val="0"/>
                <w:color w:val="7F4F00"/>
                <w:sz w:val="18"/>
              </w:rPr>
              <w:t>No numerical reorder point, safety-stock quantity or purchase order is calculated because the required operational fields are absent. Providing such numbers would be invented and potentially unsafe.</w:t>
            </w:r>
          </w:p>
        </w:tc>
      </w:tr>
    </w:tbl>
    <w:p>
      <w:pPr>
        <w:spacing w:after="0"/>
      </w:pPr>
    </w:p>
    <w:p>
      <w:pPr>
        <w:pStyle w:val="Heading1"/>
      </w:pPr>
      <w:r>
        <w:t>11. Limitations and Ethical Interpretation</w:t>
      </w:r>
    </w:p>
    <w:p>
      <w:pPr>
        <w:pStyle w:val="ListBullet"/>
      </w:pPr>
      <w:r>
        <w:t>Single-pharmacy scope: results may not generalise to other pharmacies, cities or patient populations.</w:t>
      </w:r>
    </w:p>
    <w:p>
      <w:pPr>
        <w:pStyle w:val="ListBullet"/>
      </w:pPr>
      <w:r>
        <w:t>Historical period: the data ends in October 2019 and does not represent current 2026 demand.</w:t>
      </w:r>
    </w:p>
    <w:p>
      <w:pPr>
        <w:pStyle w:val="ListBullet"/>
      </w:pPr>
      <w:r>
        <w:t>Incomplete last year: 2019 ends on 8 October and is not a complete year.</w:t>
      </w:r>
    </w:p>
    <w:p>
      <w:pPr>
        <w:pStyle w:val="ListBullet"/>
      </w:pPr>
      <w:r>
        <w:t>Aggregated categories: eight ATC groups hide brand, strength, formulation and pack-level differences.</w:t>
      </w:r>
    </w:p>
    <w:p>
      <w:pPr>
        <w:pStyle w:val="ListBullet"/>
      </w:pPr>
      <w:r>
        <w:t>No financial fields: quantity cannot establish revenue, margin or profitability.</w:t>
      </w:r>
    </w:p>
    <w:p>
      <w:pPr>
        <w:pStyle w:val="ListBullet"/>
      </w:pPr>
      <w:r>
        <w:t>No inventory fields: current stock, lead time, expiry, service level and supplier constraints are unavailable.</w:t>
      </w:r>
    </w:p>
    <w:p>
      <w:pPr>
        <w:pStyle w:val="ListBullet"/>
      </w:pPr>
      <w:r>
        <w:t>Source preprocessing: Kaggle states that missing-data imputation and outlier treatment were already performed, which can affect interpretation and explains some fractional quantities.</w:t>
      </w:r>
    </w:p>
    <w:p>
      <w:pPr>
        <w:pStyle w:val="ListBullet"/>
      </w:pPr>
      <w:r>
        <w:t>Monthly-source inconsistency: supplied monthly rows do not always reconcile with daily data; this project uses a documented daily-derived rule instead.</w:t>
      </w:r>
    </w:p>
    <w:p>
      <w:pPr>
        <w:pStyle w:val="ListBullet"/>
      </w:pPr>
      <w:r>
        <w:t>Descriptive, not causal: weekday, monthly and hourly associations do not prove why demand changed.</w:t>
      </w:r>
    </w:p>
    <w:p>
      <w:pPr>
        <w:pStyle w:val="ListBullet"/>
      </w:pPr>
      <w:r>
        <w:t>No forecasting validation: no future forecast is claimed, and no model accuracy is invented.</w:t>
      </w:r>
    </w:p>
    <w:p>
      <w:pPr>
        <w:pStyle w:val="ListBullet"/>
      </w:pPr>
      <w:r>
        <w:t>Clinical governance: ATC demand patterns are not prescribing advice. Pharmacist and regulatory review remain necessary.</w:t>
      </w:r>
    </w:p>
    <w:p>
      <w:pPr>
        <w:pStyle w:val="ListBullet"/>
      </w:pPr>
      <w:r>
        <w:t>Privacy and sharing: keep the data aggregated, follow the dataset licence and never add patient or credential information.</w:t>
      </w:r>
    </w:p>
    <w:p>
      <w:pPr>
        <w:pStyle w:val="Heading1"/>
      </w:pPr>
      <w:r>
        <w:t>12. Conclusion</w:t>
      </w:r>
    </w:p>
    <w:p>
      <w:r>
        <w:t>The project converts the supplied pharmaceutical CSVs into a reproducible analytical workflow covering data quality, SQL, Excel and BI dashboard design. Across 2,106 observed days, total recorded quantity is 127,595.50, with an average of 60.59 per day. N02BE is the largest category at 49.38% of total quantity. Complete-month analysis identifies January 2019 as the highest month, while weekday and hourly views provide additional descriptive demand patterns.</w:t>
      </w:r>
    </w:p>
    <w:p>
      <w:r>
        <w:t>The strongest technical lesson is that data preparation affects business conclusions. Reconciling time grains, preserving source precision and flagging partial periods prevent misleading comparisons. The strongest business lesson is that historical quantity is only one input to inventory planning; safe decisions also require current operational data and pharmacist review.</w:t>
      </w:r>
    </w:p>
    <w:p>
      <w:pPr>
        <w:pStyle w:val="Heading1"/>
      </w:pPr>
      <w:r>
        <w:t>13. Deliverables and Evidence Status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shd w:fill="17324D"/>
          </w:tcPr>
          <w:p>
            <w:r/>
            <w:r>
              <w:rPr>
                <w:rFonts w:ascii="Aptos" w:hAnsi="Aptos"/>
                <w:b/>
                <w:color w:val="FFFFFF"/>
                <w:sz w:val="15"/>
              </w:rPr>
              <w:t>Required item</w:t>
            </w:r>
          </w:p>
        </w:tc>
        <w:tc>
          <w:tcPr>
            <w:tcW w:type="dxa" w:w="3389"/>
            <w:vAlign w:val="center"/>
            <w:shd w:fill="17324D"/>
          </w:tcPr>
          <w:p>
            <w:r/>
            <w:r>
              <w:rPr>
                <w:rFonts w:ascii="Aptos" w:hAnsi="Aptos"/>
                <w:b/>
                <w:color w:val="FFFFFF"/>
                <w:sz w:val="15"/>
              </w:rPr>
              <w:t>Package status</w:t>
            </w:r>
          </w:p>
        </w:tc>
        <w:tc>
          <w:tcPr>
            <w:tcW w:type="dxa" w:w="3389"/>
            <w:vAlign w:val="center"/>
            <w:shd w:fill="17324D"/>
          </w:tcPr>
          <w:p>
            <w:r/>
            <w:r>
              <w:rPr>
                <w:rFonts w:ascii="Aptos" w:hAnsi="Aptos"/>
                <w:b/>
                <w:color w:val="FFFFFF"/>
                <w:sz w:val="15"/>
              </w:rPr>
              <w:t>Student action before submission</w:t>
            </w:r>
          </w:p>
        </w:tc>
      </w:tr>
      <w:tr>
        <w:tc>
          <w:tcPr>
            <w:tcW w:type="dxa" w:w="3389"/>
            <w:vAlign w:val="center"/>
          </w:tcPr>
          <w:p>
            <w:r/>
            <w:r>
              <w:rPr>
                <w:rFonts w:ascii="Aptos" w:hAnsi="Aptos"/>
                <w:b w:val="0"/>
                <w:color w:val="17324D"/>
                <w:sz w:val="15"/>
              </w:rPr>
              <w:t>Cleaned dataset</w:t>
            </w:r>
          </w:p>
        </w:tc>
        <w:tc>
          <w:tcPr>
            <w:tcW w:type="dxa" w:w="3389"/>
            <w:vAlign w:val="center"/>
          </w:tcPr>
          <w:p>
            <w:r/>
            <w:r>
              <w:rPr>
                <w:rFonts w:ascii="Aptos" w:hAnsi="Aptos"/>
                <w:b w:val="0"/>
                <w:color w:val="17324D"/>
                <w:sz w:val="15"/>
              </w:rPr>
              <w:t>Supplied: daily, derived monthly and long CSVs</w:t>
            </w:r>
          </w:p>
        </w:tc>
        <w:tc>
          <w:tcPr>
            <w:tcW w:type="dxa" w:w="3389"/>
            <w:vAlign w:val="center"/>
          </w:tcPr>
          <w:p>
            <w:r/>
            <w:r>
              <w:rPr>
                <w:rFonts w:ascii="Aptos" w:hAnsi="Aptos"/>
                <w:b w:val="0"/>
                <w:color w:val="17324D"/>
                <w:sz w:val="15"/>
              </w:rPr>
              <w:t>Review and retain the cleaning explanation</w:t>
            </w:r>
          </w:p>
        </w:tc>
      </w:tr>
      <w:tr>
        <w:tc>
          <w:tcPr>
            <w:tcW w:type="dxa" w:w="3389"/>
            <w:vAlign w:val="center"/>
            <w:shd w:fill="F3F7F9"/>
          </w:tcPr>
          <w:p>
            <w:r/>
            <w:r>
              <w:rPr>
                <w:rFonts w:ascii="Aptos" w:hAnsi="Aptos"/>
                <w:b w:val="0"/>
                <w:color w:val="17324D"/>
                <w:sz w:val="15"/>
              </w:rPr>
              <w:t>SQL queries</w:t>
            </w:r>
          </w:p>
        </w:tc>
        <w:tc>
          <w:tcPr>
            <w:tcW w:type="dxa" w:w="3389"/>
            <w:vAlign w:val="center"/>
            <w:shd w:fill="F3F7F9"/>
          </w:tcPr>
          <w:p>
            <w:r/>
            <w:r>
              <w:rPr>
                <w:rFonts w:ascii="Aptos" w:hAnsi="Aptos"/>
                <w:b w:val="0"/>
                <w:color w:val="17324D"/>
                <w:sz w:val="15"/>
              </w:rPr>
              <w:t>Supplied: pharma_sales_analysis.sql</w:t>
            </w:r>
          </w:p>
        </w:tc>
        <w:tc>
          <w:tcPr>
            <w:tcW w:type="dxa" w:w="3389"/>
            <w:vAlign w:val="center"/>
            <w:shd w:fill="F3F7F9"/>
          </w:tcPr>
          <w:p>
            <w:r/>
            <w:r>
              <w:rPr>
                <w:rFonts w:ascii="Aptos" w:hAnsi="Aptos"/>
                <w:b w:val="0"/>
                <w:color w:val="17324D"/>
                <w:sz w:val="15"/>
              </w:rPr>
              <w:t>Run in MySQL and capture real results</w:t>
            </w:r>
          </w:p>
        </w:tc>
      </w:tr>
      <w:tr>
        <w:tc>
          <w:tcPr>
            <w:tcW w:type="dxa" w:w="3389"/>
            <w:vAlign w:val="center"/>
          </w:tcPr>
          <w:p>
            <w:r/>
            <w:r>
              <w:rPr>
                <w:rFonts w:ascii="Aptos" w:hAnsi="Aptos"/>
                <w:b w:val="0"/>
                <w:color w:val="17324D"/>
                <w:sz w:val="15"/>
              </w:rPr>
              <w:t>Query results</w:t>
            </w:r>
          </w:p>
        </w:tc>
        <w:tc>
          <w:tcPr>
            <w:tcW w:type="dxa" w:w="3389"/>
            <w:vAlign w:val="center"/>
          </w:tcPr>
          <w:p>
            <w:r/>
            <w:r>
              <w:rPr>
                <w:rFonts w:ascii="Aptos" w:hAnsi="Aptos"/>
                <w:b w:val="0"/>
                <w:color w:val="17324D"/>
                <w:sz w:val="15"/>
              </w:rPr>
              <w:t>Calculated CSV tables supplied</w:t>
            </w:r>
          </w:p>
        </w:tc>
        <w:tc>
          <w:tcPr>
            <w:tcW w:type="dxa" w:w="3389"/>
            <w:vAlign w:val="center"/>
          </w:tcPr>
          <w:p>
            <w:r/>
            <w:r>
              <w:rPr>
                <w:rFonts w:ascii="Aptos" w:hAnsi="Aptos"/>
                <w:b w:val="0"/>
                <w:color w:val="17324D"/>
                <w:sz w:val="15"/>
              </w:rPr>
              <w:t>Export/compare actual MySQL results if required</w:t>
            </w:r>
          </w:p>
        </w:tc>
      </w:tr>
      <w:tr>
        <w:tc>
          <w:tcPr>
            <w:tcW w:type="dxa" w:w="3389"/>
            <w:vAlign w:val="center"/>
            <w:shd w:fill="F3F7F9"/>
          </w:tcPr>
          <w:p>
            <w:r/>
            <w:r>
              <w:rPr>
                <w:rFonts w:ascii="Aptos" w:hAnsi="Aptos"/>
                <w:b w:val="0"/>
                <w:color w:val="17324D"/>
                <w:sz w:val="15"/>
              </w:rPr>
              <w:t>Excel workbook</w:t>
            </w:r>
          </w:p>
        </w:tc>
        <w:tc>
          <w:tcPr>
            <w:tcW w:type="dxa" w:w="3389"/>
            <w:vAlign w:val="center"/>
            <w:shd w:fill="F3F7F9"/>
          </w:tcPr>
          <w:p>
            <w:r/>
            <w:r>
              <w:rPr>
                <w:rFonts w:ascii="Aptos" w:hAnsi="Aptos"/>
                <w:b w:val="0"/>
                <w:color w:val="17324D"/>
                <w:sz w:val="15"/>
              </w:rPr>
              <w:t>Pharma_Sales_Analysis.xlsx supplied</w:t>
            </w:r>
          </w:p>
        </w:tc>
        <w:tc>
          <w:tcPr>
            <w:tcW w:type="dxa" w:w="3389"/>
            <w:vAlign w:val="center"/>
            <w:shd w:fill="F3F7F9"/>
          </w:tcPr>
          <w:p>
            <w:r/>
            <w:r>
              <w:rPr>
                <w:rFonts w:ascii="Aptos" w:hAnsi="Aptos"/>
                <w:b w:val="0"/>
                <w:color w:val="17324D"/>
                <w:sz w:val="15"/>
              </w:rPr>
              <w:t>Validate, add native PivotTables if required, capture dashboard</w:t>
            </w:r>
          </w:p>
        </w:tc>
      </w:tr>
      <w:tr>
        <w:tc>
          <w:tcPr>
            <w:tcW w:type="dxa" w:w="3389"/>
            <w:vAlign w:val="center"/>
          </w:tcPr>
          <w:p>
            <w:r/>
            <w:r>
              <w:rPr>
                <w:rFonts w:ascii="Aptos" w:hAnsi="Aptos"/>
                <w:b w:val="0"/>
                <w:color w:val="17324D"/>
                <w:sz w:val="15"/>
              </w:rPr>
              <w:t>Power BI file</w:t>
            </w:r>
          </w:p>
        </w:tc>
        <w:tc>
          <w:tcPr>
            <w:tcW w:type="dxa" w:w="3389"/>
            <w:vAlign w:val="center"/>
          </w:tcPr>
          <w:p>
            <w:r/>
            <w:r>
              <w:rPr>
                <w:rFonts w:ascii="Aptos" w:hAnsi="Aptos"/>
                <w:b w:val="0"/>
                <w:color w:val="17324D"/>
                <w:sz w:val="15"/>
              </w:rPr>
              <w:t>Not generated; guide and DAX supplied</w:t>
            </w:r>
          </w:p>
        </w:tc>
        <w:tc>
          <w:tcPr>
            <w:tcW w:type="dxa" w:w="3389"/>
            <w:vAlign w:val="center"/>
          </w:tcPr>
          <w:p>
            <w:r/>
            <w:r>
              <w:rPr>
                <w:rFonts w:ascii="Aptos" w:hAnsi="Aptos"/>
                <w:b w:val="0"/>
                <w:color w:val="17324D"/>
                <w:sz w:val="15"/>
              </w:rPr>
              <w:t>Build and save Pharma_Sales_Dashboard.pbix</w:t>
            </w:r>
          </w:p>
        </w:tc>
      </w:tr>
      <w:tr>
        <w:tc>
          <w:tcPr>
            <w:tcW w:type="dxa" w:w="3389"/>
            <w:vAlign w:val="center"/>
            <w:shd w:fill="F3F7F9"/>
          </w:tcPr>
          <w:p>
            <w:r/>
            <w:r>
              <w:rPr>
                <w:rFonts w:ascii="Aptos" w:hAnsi="Aptos"/>
                <w:b w:val="0"/>
                <w:color w:val="17324D"/>
                <w:sz w:val="15"/>
              </w:rPr>
              <w:t>Tableau workbook</w:t>
            </w:r>
          </w:p>
        </w:tc>
        <w:tc>
          <w:tcPr>
            <w:tcW w:type="dxa" w:w="3389"/>
            <w:vAlign w:val="center"/>
            <w:shd w:fill="F3F7F9"/>
          </w:tcPr>
          <w:p>
            <w:r/>
            <w:r>
              <w:rPr>
                <w:rFonts w:ascii="Aptos" w:hAnsi="Aptos"/>
                <w:b w:val="0"/>
                <w:color w:val="17324D"/>
                <w:sz w:val="15"/>
              </w:rPr>
              <w:t>Not generated; guide and calculations supplied</w:t>
            </w:r>
          </w:p>
        </w:tc>
        <w:tc>
          <w:tcPr>
            <w:tcW w:type="dxa" w:w="3389"/>
            <w:vAlign w:val="center"/>
            <w:shd w:fill="F3F7F9"/>
          </w:tcPr>
          <w:p>
            <w:r/>
            <w:r>
              <w:rPr>
                <w:rFonts w:ascii="Aptos" w:hAnsi="Aptos"/>
                <w:b w:val="0"/>
                <w:color w:val="17324D"/>
                <w:sz w:val="15"/>
              </w:rPr>
              <w:t>Build and save Pharma_Sales_Dashboard.twbx</w:t>
            </w:r>
          </w:p>
        </w:tc>
      </w:tr>
      <w:tr>
        <w:tc>
          <w:tcPr>
            <w:tcW w:type="dxa" w:w="3389"/>
            <w:vAlign w:val="center"/>
          </w:tcPr>
          <w:p>
            <w:r/>
            <w:r>
              <w:rPr>
                <w:rFonts w:ascii="Aptos" w:hAnsi="Aptos"/>
                <w:b w:val="0"/>
                <w:color w:val="17324D"/>
                <w:sz w:val="15"/>
              </w:rPr>
              <w:t>Screenshots</w:t>
            </w:r>
          </w:p>
        </w:tc>
        <w:tc>
          <w:tcPr>
            <w:tcW w:type="dxa" w:w="3389"/>
            <w:vAlign w:val="center"/>
          </w:tcPr>
          <w:p>
            <w:r/>
            <w:r>
              <w:rPr>
                <w:rFonts w:ascii="Aptos" w:hAnsi="Aptos"/>
                <w:b w:val="0"/>
                <w:color w:val="17324D"/>
                <w:sz w:val="15"/>
              </w:rPr>
              <w:t>Generated charts supplied and labelled</w:t>
            </w:r>
          </w:p>
        </w:tc>
        <w:tc>
          <w:tcPr>
            <w:tcW w:type="dxa" w:w="3389"/>
            <w:vAlign w:val="center"/>
          </w:tcPr>
          <w:p>
            <w:r/>
            <w:r>
              <w:rPr>
                <w:rFonts w:ascii="Aptos" w:hAnsi="Aptos"/>
                <w:b w:val="0"/>
                <w:color w:val="17324D"/>
                <w:sz w:val="15"/>
              </w:rPr>
              <w:t>Add real MySQL/Excel/Power BI/Tableau screenshots</w:t>
            </w:r>
          </w:p>
        </w:tc>
      </w:tr>
      <w:tr>
        <w:tc>
          <w:tcPr>
            <w:tcW w:type="dxa" w:w="3389"/>
            <w:vAlign w:val="center"/>
            <w:shd w:fill="F3F7F9"/>
          </w:tcPr>
          <w:p>
            <w:r/>
            <w:r>
              <w:rPr>
                <w:rFonts w:ascii="Aptos" w:hAnsi="Aptos"/>
                <w:b w:val="0"/>
                <w:color w:val="17324D"/>
                <w:sz w:val="15"/>
              </w:rPr>
              <w:t>README</w:t>
            </w:r>
          </w:p>
        </w:tc>
        <w:tc>
          <w:tcPr>
            <w:tcW w:type="dxa" w:w="3389"/>
            <w:vAlign w:val="center"/>
            <w:shd w:fill="F3F7F9"/>
          </w:tcPr>
          <w:p>
            <w:r/>
            <w:r>
              <w:rPr>
                <w:rFonts w:ascii="Aptos" w:hAnsi="Aptos"/>
                <w:b w:val="0"/>
                <w:color w:val="17324D"/>
                <w:sz w:val="15"/>
              </w:rPr>
              <w:t>Supplied with actual results and honest status</w:t>
            </w:r>
          </w:p>
        </w:tc>
        <w:tc>
          <w:tcPr>
            <w:tcW w:type="dxa" w:w="3389"/>
            <w:vAlign w:val="center"/>
            <w:shd w:fill="F3F7F9"/>
          </w:tcPr>
          <w:p>
            <w:r/>
            <w:r>
              <w:rPr>
                <w:rFonts w:ascii="Aptos" w:hAnsi="Aptos"/>
                <w:b w:val="0"/>
                <w:color w:val="17324D"/>
                <w:sz w:val="15"/>
              </w:rPr>
              <w:t>Replace personal/link placeholders</w:t>
            </w:r>
          </w:p>
        </w:tc>
      </w:tr>
      <w:tr>
        <w:tc>
          <w:tcPr>
            <w:tcW w:type="dxa" w:w="3389"/>
            <w:vAlign w:val="center"/>
          </w:tcPr>
          <w:p>
            <w:r/>
            <w:r>
              <w:rPr>
                <w:rFonts w:ascii="Aptos" w:hAnsi="Aptos"/>
                <w:b w:val="0"/>
                <w:color w:val="17324D"/>
                <w:sz w:val="15"/>
              </w:rPr>
              <w:t>Final report</w:t>
            </w:r>
          </w:p>
        </w:tc>
        <w:tc>
          <w:tcPr>
            <w:tcW w:type="dxa" w:w="3389"/>
            <w:vAlign w:val="center"/>
          </w:tcPr>
          <w:p>
            <w:r/>
            <w:r>
              <w:rPr>
                <w:rFonts w:ascii="Aptos" w:hAnsi="Aptos"/>
                <w:b w:val="0"/>
                <w:color w:val="17324D"/>
                <w:sz w:val="15"/>
              </w:rPr>
              <w:t>This DOCX supplied</w:t>
            </w:r>
          </w:p>
        </w:tc>
        <w:tc>
          <w:tcPr>
            <w:tcW w:type="dxa" w:w="3389"/>
            <w:vAlign w:val="center"/>
          </w:tcPr>
          <w:p>
            <w:r/>
            <w:r>
              <w:rPr>
                <w:rFonts w:ascii="Aptos" w:hAnsi="Aptos"/>
                <w:b w:val="0"/>
                <w:color w:val="17324D"/>
                <w:sz w:val="15"/>
              </w:rPr>
              <w:t>Personalise, add evidence and verify before Google Docs upload</w:t>
            </w:r>
          </w:p>
        </w:tc>
      </w:tr>
      <w:tr>
        <w:tc>
          <w:tcPr>
            <w:tcW w:type="dxa" w:w="3389"/>
            <w:vAlign w:val="center"/>
            <w:shd w:fill="F3F7F9"/>
          </w:tcPr>
          <w:p>
            <w:r/>
            <w:r>
              <w:rPr>
                <w:rFonts w:ascii="Aptos" w:hAnsi="Aptos"/>
                <w:b w:val="0"/>
                <w:color w:val="17324D"/>
                <w:sz w:val="15"/>
              </w:rPr>
              <w:t>GitHub/Google Docs/portal</w:t>
            </w:r>
          </w:p>
        </w:tc>
        <w:tc>
          <w:tcPr>
            <w:tcW w:type="dxa" w:w="3389"/>
            <w:vAlign w:val="center"/>
            <w:shd w:fill="F3F7F9"/>
          </w:tcPr>
          <w:p>
            <w:r/>
            <w:r>
              <w:rPr>
                <w:rFonts w:ascii="Aptos" w:hAnsi="Aptos"/>
                <w:b w:val="0"/>
                <w:color w:val="17324D"/>
                <w:sz w:val="15"/>
              </w:rPr>
              <w:t>Not claimed complete</w:t>
            </w:r>
          </w:p>
        </w:tc>
        <w:tc>
          <w:tcPr>
            <w:tcW w:type="dxa" w:w="3389"/>
            <w:vAlign w:val="center"/>
            <w:shd w:fill="F3F7F9"/>
          </w:tcPr>
          <w:p>
            <w:r/>
            <w:r>
              <w:rPr>
                <w:rFonts w:ascii="Aptos" w:hAnsi="Aptos"/>
                <w:b w:val="0"/>
                <w:color w:val="17324D"/>
                <w:sz w:val="15"/>
              </w:rPr>
              <w:t>Create, test and submit real links per official instructions</w:t>
            </w:r>
          </w:p>
        </w:tc>
      </w:tr>
    </w:tbl>
    <w:p>
      <w:pPr>
        <w:spacing w:after="0"/>
      </w:pPr>
    </w:p>
    <w:p>
      <w:r>
        <w:t>Use `Documentation/Submission_Checklist.md` as the final working checklist. Follow the exact current iNeuBytes portal and mentor instructions where they differ from general guidance.</w:t>
      </w:r>
    </w:p>
    <w:p>
      <w:pPr>
        <w:pStyle w:val="Heading1"/>
      </w:pPr>
      <w:r>
        <w:t>14. References and Appendices</w:t>
      </w:r>
    </w:p>
    <w:p>
      <w:pPr>
        <w:pStyle w:val="Heading2"/>
      </w:pPr>
      <w:r>
        <w:t>14.1 References</w:t>
      </w:r>
    </w:p>
    <w:p>
      <w:r>
        <w:t>1. Zdravković, M. Pharma sales data. Kaggle. https://www.kaggle.com/datasets/milanzdravkovic/pharma-sales-data (dataset description, ATC category definitions and licence information).</w:t>
      </w:r>
    </w:p>
    <w:p>
      <w:r>
        <w:t>2. Creative Commons. Attribution-NonCommercial 4.0 International. https://creativecommons.org/licenses/by-nc/4.0/</w:t>
      </w:r>
    </w:p>
    <w:p>
      <w:r>
        <w:t>3. iNeuBytes project procedure supplied by the student for Course DAINB10926. Current portal and mentor instructions must be checked directly.</w:t>
      </w:r>
    </w:p>
    <w:p>
      <w:pPr>
        <w:pStyle w:val="Heading2"/>
      </w:pPr>
      <w:r>
        <w:t>14.2 Screenshot insertion checklist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888"/>
            <w:vAlign w:val="center"/>
            <w:shd w:fill="17324D"/>
          </w:tcPr>
          <w:p>
            <w:r/>
            <w:r>
              <w:rPr>
                <w:rFonts w:ascii="Aptos" w:hAnsi="Aptos"/>
                <w:b/>
                <w:color w:val="FFFFFF"/>
                <w:sz w:val="17"/>
              </w:rPr>
              <w:t>Evidence to insert</w:t>
            </w:r>
          </w:p>
        </w:tc>
        <w:tc>
          <w:tcPr>
            <w:tcW w:type="dxa" w:w="6192"/>
            <w:vAlign w:val="center"/>
            <w:shd w:fill="17324D"/>
          </w:tcPr>
          <w:p>
            <w:r/>
            <w:r>
              <w:rPr>
                <w:rFonts w:ascii="Aptos" w:hAnsi="Aptos"/>
                <w:b/>
                <w:color w:val="FFFFFF"/>
                <w:sz w:val="17"/>
              </w:rPr>
              <w:t>Suggested caption</w:t>
            </w:r>
          </w:p>
        </w:tc>
      </w:tr>
      <w:tr>
        <w:tc>
          <w:tcPr>
            <w:tcW w:type="dxa" w:w="3888"/>
            <w:vAlign w:val="center"/>
          </w:tcPr>
          <w:p>
            <w:r/>
            <w:r>
              <w:rPr>
                <w:rFonts w:ascii="Aptos" w:hAnsi="Aptos"/>
                <w:b w:val="0"/>
                <w:color w:val="17324D"/>
                <w:sz w:val="17"/>
              </w:rPr>
              <w:t>MySQL overall/category/monthly results</w:t>
            </w:r>
          </w:p>
        </w:tc>
        <w:tc>
          <w:tcPr>
            <w:tcW w:type="dxa" w:w="6192"/>
            <w:vAlign w:val="center"/>
          </w:tcPr>
          <w:p>
            <w:r/>
            <w:r>
              <w:rPr>
                <w:rFonts w:ascii="Aptos" w:hAnsi="Aptos"/>
                <w:b w:val="0"/>
                <w:color w:val="17324D"/>
                <w:sz w:val="17"/>
              </w:rPr>
              <w:t>SQL query and result grid for quantity analysis</w:t>
            </w:r>
          </w:p>
        </w:tc>
      </w:tr>
      <w:tr>
        <w:tc>
          <w:tcPr>
            <w:tcW w:type="dxa" w:w="3888"/>
            <w:vAlign w:val="center"/>
            <w:shd w:fill="F3F7F9"/>
          </w:tcPr>
          <w:p>
            <w:r/>
            <w:r>
              <w:rPr>
                <w:rFonts w:ascii="Aptos" w:hAnsi="Aptos"/>
                <w:b w:val="0"/>
                <w:color w:val="17324D"/>
                <w:sz w:val="17"/>
              </w:rPr>
              <w:t>Excel dashboard</w:t>
            </w:r>
          </w:p>
        </w:tc>
        <w:tc>
          <w:tcPr>
            <w:tcW w:type="dxa" w:w="6192"/>
            <w:vAlign w:val="center"/>
            <w:shd w:fill="F3F7F9"/>
          </w:tcPr>
          <w:p>
            <w:r/>
            <w:r>
              <w:rPr>
                <w:rFonts w:ascii="Aptos" w:hAnsi="Aptos"/>
                <w:b w:val="0"/>
                <w:color w:val="17324D"/>
                <w:sz w:val="17"/>
              </w:rPr>
              <w:t>Excel dashboard with KPI cards, charts and selectors</w:t>
            </w:r>
          </w:p>
        </w:tc>
      </w:tr>
      <w:tr>
        <w:tc>
          <w:tcPr>
            <w:tcW w:type="dxa" w:w="3888"/>
            <w:vAlign w:val="center"/>
          </w:tcPr>
          <w:p>
            <w:r/>
            <w:r>
              <w:rPr>
                <w:rFonts w:ascii="Aptos" w:hAnsi="Aptos"/>
                <w:b w:val="0"/>
                <w:color w:val="17324D"/>
                <w:sz w:val="17"/>
              </w:rPr>
              <w:t>Power BI dashboard</w:t>
            </w:r>
          </w:p>
        </w:tc>
        <w:tc>
          <w:tcPr>
            <w:tcW w:type="dxa" w:w="6192"/>
            <w:vAlign w:val="center"/>
          </w:tcPr>
          <w:p>
            <w:r/>
            <w:r>
              <w:rPr>
                <w:rFonts w:ascii="Aptos" w:hAnsi="Aptos"/>
                <w:b w:val="0"/>
                <w:color w:val="17324D"/>
                <w:sz w:val="17"/>
              </w:rPr>
              <w:t>Power BI sales overview with filters applied</w:t>
            </w:r>
          </w:p>
        </w:tc>
      </w:tr>
      <w:tr>
        <w:tc>
          <w:tcPr>
            <w:tcW w:type="dxa" w:w="3888"/>
            <w:vAlign w:val="center"/>
            <w:shd w:fill="F3F7F9"/>
          </w:tcPr>
          <w:p>
            <w:r/>
            <w:r>
              <w:rPr>
                <w:rFonts w:ascii="Aptos" w:hAnsi="Aptos"/>
                <w:b w:val="0"/>
                <w:color w:val="17324D"/>
                <w:sz w:val="17"/>
              </w:rPr>
              <w:t>Tableau dashboard</w:t>
            </w:r>
          </w:p>
        </w:tc>
        <w:tc>
          <w:tcPr>
            <w:tcW w:type="dxa" w:w="6192"/>
            <w:vAlign w:val="center"/>
            <w:shd w:fill="F3F7F9"/>
          </w:tcPr>
          <w:p>
            <w:r/>
            <w:r>
              <w:rPr>
                <w:rFonts w:ascii="Aptos" w:hAnsi="Aptos"/>
                <w:b w:val="0"/>
                <w:color w:val="17324D"/>
                <w:sz w:val="17"/>
              </w:rPr>
              <w:t>Tableau sales overview with filters applied</w:t>
            </w:r>
          </w:p>
        </w:tc>
      </w:tr>
    </w:tbl>
    <w:p>
      <w:pPr>
        <w:spacing w:after="0"/>
      </w:pPr>
    </w:p>
    <w:p>
      <w:r>
        <w:t>After inserting each real screenshot, add one sentence explaining what the viewer should learn. Do not replace application evidence with the generated preview.</w:t>
      </w:r>
    </w:p>
    <w:p>
      <w:pPr>
        <w:pStyle w:val="Heading2"/>
      </w:pPr>
      <w:r>
        <w:t>14.3 Required repository structure</w:t>
      </w:r>
    </w:p>
    <w:p>
      <w:r>
        <w:rPr>
          <w:rFonts w:ascii="Consolas" w:hAnsi="Consolas"/>
          <w:color w:val="7F3F00"/>
          <w:sz w:val="18"/>
        </w:rPr>
        <w:t>Task-1-SQL/</w:t>
        <w:br/>
        <w:t>Task-2-Excel/</w:t>
        <w:br/>
        <w:t>Task-3-PowerBI-Tableau/</w:t>
        <w:br/>
        <w:t>Major-Project/</w:t>
        <w:br/>
        <w:t>Documentation/</w:t>
        <w:br/>
        <w:t>Screenshots/</w:t>
        <w:br/>
        <w:t>README.md</w:t>
      </w:r>
    </w:p>
    <w:p>
      <w:r>
        <w:t>Repository name: internsAparnareddy_INBT026297_iNeuBytes. Submit only real, tested GitHub and Google Docs URLs after completing the remaining application evidence.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77"/>
        <w:sz w:val="16"/>
      </w:rPr>
      <w:t xml:space="preserve">iNeuBytes VIIP  •  Student report draft  •  </w:t>
    </w:r>
    <w:r>
      <w:rPr>
        <w:color w:val="526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777"/>
        <w:sz w:val="16"/>
      </w:rPr>
      <w:t>DAINB10926  |  PHARMACEUTICAL SALES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8F9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Aptos" w:hAnsi="Aptos"/>
      <w:b/>
      <w:i/>
      <w:iCs/>
      <w:color w:val="008F9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7324D"/>
      <w:sz w:val="20"/>
    </w:rPr>
  </w:style>
  <w:style w:type="paragraph" w:styleId="ListBullet2">
    <w:name w:val="List Bullet 2"/>
    <w:basedOn w:val="Normal"/>
    <w:uiPriority w:val="99"/>
    <w:unhideWhenUsed/>
    <w:rsid w:val="00326F90"/>
    <w:pPr>
      <w:numPr>
        <w:numId w:val="2"/>
      </w:numPr>
      <w:contextualSpacing/>
    </w:pPr>
    <w:rPr>
      <w:rFonts w:ascii="Aptos" w:hAnsi="Aptos"/>
      <w:color w:val="17324D"/>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7324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Pharmaceutical Sales Data Analytics — DAINB10926</dc:title>
  <dc:subject>iNeuBytes VIIP Major Project Report</dc:subject>
  <dc:creator>Aparna Reddy</dc:creator>
  <cp:keywords>pharmaceutical sales, SQL, Excel, Power BI, Tableau, ATC, inventory planning</cp:keywords>
  <dc:description>generated by python-docx</dc:description>
  <cp:lastModifiedBy/>
  <cp:revision>1</cp:revision>
  <dcterms:created xsi:type="dcterms:W3CDTF">2013-12-23T23:15:00Z</dcterms:created>
  <dcterms:modified xsi:type="dcterms:W3CDTF">2013-12-23T23:15:00Z</dcterms:modified>
  <cp:category/>
</cp:coreProperties>
</file>