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5" w:lineRule="auto"/>
        <w:jc w:val="center"/>
      </w:pPr>
      <w:r>
        <w:rPr>
          <w:rFonts w:ascii="Aptos" w:hAnsi="Aptos" w:eastAsia="Aptos"/>
          <w:b/>
          <w:i w:val="0"/>
          <w:color w:val="202A35"/>
          <w:sz w:val="43"/>
        </w:rPr>
        <w:t>CLIMATE INTELLIGENCE</w:t>
      </w:r>
    </w:p>
    <w:p>
      <w:pPr>
        <w:spacing w:after="0" w:line="245" w:lineRule="auto"/>
        <w:jc w:val="center"/>
      </w:pPr>
      <w:r>
        <w:rPr>
          <w:rFonts w:ascii="Aptos" w:hAnsi="Aptos" w:eastAsia="Aptos"/>
          <w:b/>
          <w:i w:val="0"/>
          <w:color w:val="20AFA9"/>
          <w:sz w:val="20"/>
        </w:rPr>
        <w:t>Climate Intelligence for Heatwave Monitoring, Prediction and Early Warning</w:t>
      </w:r>
    </w:p>
    <w:p>
      <w:pPr>
        <w:spacing w:after="0" w:line="245" w:lineRule="auto"/>
        <w:jc w:val="center"/>
      </w:pPr>
      <w:r>
        <w:rPr>
          <w:rFonts w:ascii="Aptos" w:hAnsi="Aptos" w:eastAsia="Aptos"/>
          <w:b/>
          <w:i w:val="0"/>
          <w:color w:val="202A35"/>
          <w:sz w:val="27"/>
        </w:rPr>
        <w:t>USER INTERFACE, SIMULATION AND VALIDATION</w:t>
      </w:r>
    </w:p>
    <w:p>
      <w:pPr>
        <w:spacing w:after="100" w:line="245" w:lineRule="auto"/>
        <w:jc w:val="center"/>
      </w:pPr>
      <w:r>
        <w:rPr>
          <w:rFonts w:ascii="Aptos" w:hAnsi="Aptos" w:eastAsia="Aptos"/>
          <w:b w:val="0"/>
          <w:i/>
          <w:color w:val="5D7080"/>
          <w:sz w:val="19"/>
        </w:rPr>
        <w:t>A guided case study of interaction and evidence</w:t>
      </w:r>
    </w:p>
    <w:p>
      <w:pPr>
        <w:spacing w:after="20" w:line="245" w:lineRule="auto"/>
      </w:pPr>
      <w:r>
        <w:rPr>
          <w:rFonts w:ascii="Aptos" w:hAnsi="Aptos" w:eastAsia="Aptos"/>
          <w:b w:val="0"/>
          <w:i w:val="0"/>
          <w:color w:val="5D7080"/>
          <w:sz w:val="18"/>
        </w:rPr>
        <w:t>Student name: ____________________    Roll number: ____________________</w:t>
      </w:r>
    </w:p>
    <w:p>
      <w:pPr>
        <w:spacing w:after="80" w:line="245" w:lineRule="auto"/>
      </w:pPr>
      <w:r>
        <w:rPr>
          <w:rFonts w:ascii="Aptos" w:hAnsi="Aptos" w:eastAsia="Aptos"/>
          <w:b w:val="0"/>
          <w:i w:val="0"/>
          <w:color w:val="5D7080"/>
          <w:sz w:val="16"/>
        </w:rPr>
        <w:t>Class / division: ____________   Course: ____________   Institution: __________________________</w:t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202A35"/>
          <w:sz w:val="24"/>
        </w:rPr>
        <w:t>1  USER NEED AND APPLICATION OVERVIEW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9"/>
        </w:rPr>
        <w:t>A student or evaluator needs to move from a dashboard summary to individual observations, analysis and a repeatable warning demonstration. The local Tkinter application uses a sidebar to navigate Overview, Climate records, Analysis &amp; alerts, Predictions and Project details. The capture below is the one genuine supplied application screenshot; its values describe that captured database state.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947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mate_intelligence_overview_user_cap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4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45" w:lineRule="auto"/>
        <w:jc w:val="center"/>
      </w:pPr>
      <w:r>
        <w:rPr>
          <w:rFonts w:ascii="Aptos" w:hAnsi="Aptos" w:eastAsia="Aptos"/>
          <w:b/>
          <w:i w:val="0"/>
          <w:color w:val="20AFA9"/>
          <w:sz w:val="16"/>
        </w:rPr>
        <w:t>Figure 1. Supplied Overview capture: paused simulation, stored metrics and illustrative station canvas.</w:t>
      </w:r>
    </w:p>
    <w:p>
      <w:pPr>
        <w:spacing w:after="0" w:line="245" w:lineRule="auto"/>
      </w:pPr>
      <w:r>
        <w:rPr>
          <w:rFonts w:ascii="Aptos" w:hAnsi="Aptos" w:eastAsia="Aptos"/>
          <w:b/>
          <w:i w:val="0"/>
          <w:color w:val="202A35"/>
          <w:sz w:val="19"/>
        </w:rPr>
        <w:t>Objective: provide clear data entry/search, CSV exchange, climate summaries, textual warning states and a simulation that can be explained without implying remote live monitoring.</w:t>
      </w:r>
    </w:p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202A35"/>
          <w:sz w:val="24"/>
        </w:rPr>
        <w:t>2  INTERFACE STRUCTURE AND USER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376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7848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USER TASK / FEEDBACK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Overview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Read metric cards, latest values, illustrative map/telemetry; start/stop synthetic feed or trigger demo.</w:t>
            </w:r>
          </w:p>
        </w:tc>
      </w:tr>
      <w:tr>
        <w:tc>
          <w:tcPr>
            <w:tcW w:type="dxa" w:w="237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Climate records</w:t>
            </w:r>
          </w:p>
        </w:tc>
        <w:tc>
          <w:tcPr>
            <w:tcW w:type="dxa" w:w="784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Search by station/city/category/source; select, add, update or delete; CSV import/export.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Analysis &amp; alerts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Review temperature/rain summaries, &gt;=40°C count, category labels and concurrent-monitor result.</w:t>
            </w:r>
          </w:p>
        </w:tc>
      </w:tr>
      <w:tr>
        <w:tc>
          <w:tcPr>
            <w:tcW w:type="dxa" w:w="237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Predictions</w:t>
            </w:r>
          </w:p>
        </w:tc>
        <w:tc>
          <w:tcPr>
            <w:tcW w:type="dxa" w:w="784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View recent readings and one-step per-record trend estimate.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Project details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Inspect experiment, dataset and limitation information.</w:t>
            </w:r>
          </w:p>
        </w:tc>
      </w:tr>
    </w:tbl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61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6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45" w:lineRule="auto"/>
        <w:jc w:val="center"/>
      </w:pPr>
      <w:r>
        <w:rPr>
          <w:rFonts w:ascii="Aptos" w:hAnsi="Aptos" w:eastAsia="Aptos"/>
          <w:b/>
          <w:i w:val="0"/>
          <w:color w:val="20AFA9"/>
          <w:sz w:val="16"/>
        </w:rPr>
        <w:t>Figure 2. Page destinations are frames selected through Tkinter callbacks.</w:t>
      </w:r>
    </w:p>
    <w:p>
      <w:pPr>
        <w:keepNext/>
        <w:spacing w:before="40" w:after="20"/>
      </w:pPr>
      <w:r>
        <w:rPr>
          <w:b/>
          <w:color w:val="20AFA9"/>
          <w:sz w:val="16"/>
        </w:rPr>
        <w:t>Deterministic demo action · 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39"/>
            <w:shd w:fill="F3F6F8"/>
            <w:tcBorders>
              <w:top w:val="single" w:sz="4" w:color="20AFA9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color w:val="253A4A"/>
                <w:sz w:val="13"/>
              </w:rPr>
              <w:t>record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"observed_at": datetime.now().strftime("%Y-%m-%d %H:%M:%S"),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"station": "Nagpur Heatwave Demo", "city": "Nagpur",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"temperature": 41.6, "humidity": 29.0, "wind_speed": 7.5, "rainfall": 0.0,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"condition_text": "Simulated heatwave event", "source": "Scenario simulation",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"notes": "Synthetic demonstration event; not a live weather observation"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>}</w:t>
            </w:r>
          </w:p>
        </w:tc>
      </w:tr>
    </w:tbl>
    <w:p>
      <w:pPr>
        <w:spacing w:after="0" w:line="245" w:lineRule="auto"/>
      </w:pPr>
      <w:r>
        <w:rPr>
          <w:rFonts w:ascii="Aptos" w:hAnsi="Aptos" w:eastAsia="Aptos"/>
          <w:b w:val="0"/>
          <w:i/>
          <w:color w:val="5D7080"/>
          <w:sz w:val="18"/>
        </w:rPr>
        <w:t>The database assigns the corresponding temperature category during insertion. Text accompanies color to make severity visible; accessibility and participant testing were not conducted.</w:t>
      </w:r>
    </w:p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202A35"/>
          <w:sz w:val="24"/>
        </w:rPr>
        <w:t>3  RECORDS, DATASETS AND COURSE CONCEPTS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3528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SUPPLIED CSV</w:t>
            </w:r>
          </w:p>
        </w:tc>
        <w:tc>
          <w:tcPr>
            <w:tcW w:type="dxa" w:w="1656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ROWS / ROLE</w:t>
            </w:r>
          </w:p>
        </w:tc>
        <w:tc>
          <w:tcPr>
            <w:tcW w:type="dxa" w:w="5040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FIELDS RETAINED FOR THE COMMON RECORD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weather_data exp 03.csv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50 / bootstrap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Station, city, temperature, humidity, wind, condition</w:t>
            </w:r>
          </w:p>
        </w:tc>
      </w:tr>
      <w:tr>
        <w:tc>
          <w:tcPr>
            <w:tcW w:type="dxa" w:w="352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Exp04_IMD_50_Real_Weather_Observations.csv</w:t>
            </w:r>
          </w:p>
        </w:tc>
        <w:tc>
          <w:tcPr>
            <w:tcW w:type="dxa" w:w="165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50 / bootstrap</w:t>
            </w:r>
          </w:p>
        </w:tc>
        <w:tc>
          <w:tcPr>
            <w:tcW w:type="dxa" w:w="5040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Date, station, temperature, rainfall; source label unverified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Pune_Climate_50_Observations EXP 6.csv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50 / bootstrap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Time, station, temperature, humidity</w:t>
            </w:r>
          </w:p>
        </w:tc>
      </w:tr>
      <w:tr>
        <w:tc>
          <w:tcPr>
            <w:tcW w:type="dxa" w:w="352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Weather data (EXP5).csv</w:t>
            </w:r>
          </w:p>
        </w:tc>
        <w:tc>
          <w:tcPr>
            <w:tcW w:type="dxa" w:w="165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24,070 / manual import</w:t>
            </w:r>
          </w:p>
        </w:tc>
        <w:tc>
          <w:tcPr>
            <w:tcW w:type="dxa" w:w="5040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Selected core weather fields from 20 columns</w:t>
            </w:r>
          </w:p>
        </w:tc>
      </w:tr>
    </w:tbl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8"/>
        </w:rPr>
        <w:t>Two XLSX companions are supplied but import/export dialogs are CSV-only. Empty storage seeds the three 50-row files. SQLite stores one observations table (12 fields) and indexes date/time and station; CRUD is parameterized, but repeated imports may duplicate records and source-level provenance is incomplete.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3096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EXP. / TOPIC</w:t>
            </w:r>
          </w:p>
        </w:tc>
        <w:tc>
          <w:tcPr>
            <w:tcW w:type="dxa" w:w="7128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CONCEPT → ACTUAL APPLICATION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01 · Class creation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Classes, objects, constructor, attributes and encapsulation. Validated observation objects carry form/import values; marks classes remain outside the UI.</w:t>
            </w:r>
          </w:p>
        </w:tc>
      </w:tr>
      <w:tr>
        <w:tc>
          <w:tcPr>
            <w:tcW w:type="dxa" w:w="309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02 · Constructors and lists</w:t>
            </w:r>
          </w:p>
        </w:tc>
        <w:tc>
          <w:tcPr>
            <w:tcW w:type="dxa" w:w="712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Default/parameterized construction, list accumulation and CRUD. List-backed import staging leads to saved rows; record controls operate on persistent SQLite CRUD.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03 · String handling and inheritance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Whitespace/string methods, base and derived classes, super(). Clean labels and the imported subclass keep displayed records consistent with the base model.</w:t>
            </w:r>
          </w:p>
        </w:tc>
      </w:tr>
      <w:tr>
        <w:tc>
          <w:tcPr>
            <w:tcW w:type="dxa" w:w="309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04 · Abstract classes and polymorphism</w:t>
            </w:r>
          </w:p>
        </w:tc>
        <w:tc>
          <w:tcPr>
            <w:tcW w:type="dxa" w:w="712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ABC, abstract method, overriding and a shared method contract. Analysis screens call either analyzer through the shared method interface.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05 · Exceptions, modules and multithreading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Exceptions, module separation, background/concurrent work. Background simulation/monitoring returns queued results for Tk updates; errors are shown as feedback.</w:t>
            </w:r>
          </w:p>
        </w:tc>
      </w:tr>
      <w:tr>
        <w:tc>
          <w:tcPr>
            <w:tcW w:type="dxa" w:w="3096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06 · Collections and functional programming</w:t>
            </w:r>
          </w:p>
        </w:tc>
        <w:tc>
          <w:tcPr>
            <w:tcW w:type="dxa" w:w="7128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Lists, mappings, sets, lambda, map, filter and reduce. Collections and lambdas support the Analysis &amp; alerts results users inspect in the GUI.</w:t>
            </w:r>
          </w:p>
        </w:tc>
      </w:tr>
    </w:tbl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202A35"/>
          <w:sz w:val="24"/>
        </w:rPr>
        <w:t>4  SIMULATION, RISK FEEDBACK AND IMPLEMENTATION EVIDENCE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533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d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3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45" w:lineRule="auto"/>
        <w:jc w:val="center"/>
      </w:pPr>
      <w:r>
        <w:rPr>
          <w:rFonts w:ascii="Aptos" w:hAnsi="Aptos" w:eastAsia="Aptos"/>
          <w:b/>
          <w:i w:val="0"/>
          <w:color w:val="20AFA9"/>
          <w:sz w:val="16"/>
        </w:rPr>
        <w:t>Figure 3. Stored alert bands are temperature-only; humidity/wind are separate context labels.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9"/>
        </w:rPr>
        <w:t>The live-simulation control creates synthetic local observations on a worker and returns events through a queue for Tk polling. Stop signals the worker. Heatwave Event persists a fixed 41.6°C Nagpur example. Both paths are repeatable demonstrations; neither represents measured weather.</w:t>
      </w:r>
    </w:p>
    <w:p>
      <w:pPr>
        <w:keepNext/>
        <w:spacing w:before="40" w:after="20"/>
      </w:pPr>
      <w:r>
        <w:rPr>
          <w:b/>
          <w:color w:val="20AFA9"/>
          <w:sz w:val="16"/>
        </w:rPr>
        <w:t>Temperature severity · alert_engine.py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39"/>
            <w:shd w:fill="F3F6F8"/>
            <w:tcBorders>
              <w:top w:val="single" w:sz="4" w:color="20AFA9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color w:val="253A4A"/>
                <w:sz w:val="14"/>
              </w:rPr>
              <w:t>if temp &gt;= CRITICAL_C: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return "CRITICAL"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if temp &gt;= WARNING_C: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 xml:space="preserve">    return "WARNING"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4"/>
              </w:rPr>
              <w:t>return "NORMAL"</w:t>
            </w:r>
          </w:p>
        </w:tc>
      </w:tr>
    </w:tbl>
    <w:p>
      <w:pPr>
        <w:keepNext/>
        <w:spacing w:before="40" w:after="20"/>
      </w:pPr>
      <w:r>
        <w:rPr>
          <w:b/>
          <w:color w:val="20AFA9"/>
          <w:sz w:val="16"/>
        </w:rPr>
        <w:t>Concurrent monitor · 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39"/>
            <w:shd w:fill="F3F6F8"/>
            <w:tcBorders>
              <w:top w:val="single" w:sz="4" w:color="20AFA9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color w:val="253A4A"/>
                <w:sz w:val="13"/>
              </w:rPr>
              <w:t>from concurrent.futures import ThreadPoolExecutor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>def check(row):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r=dict(row);r.update(monitor_conditions(r))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return 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>with ThreadPoolExecutor(max_workers=8, thread_name_prefix="heat-check") as pool: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 xml:space="preserve">    result=list(pool.map(check, rows))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53A4A"/>
                <w:sz w:val="13"/>
              </w:rPr>
              <w:t>self.events.put(("monitor_done",result))</w:t>
            </w:r>
          </w:p>
        </w:tc>
      </w:tr>
    </w:tbl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8"/>
        </w:rPr>
        <w:t>The estimate shown on Predictions uses up to eight latest readings and adds one average per-reading change to the latest value. It does not account for unequal timestamp gaps and has no accuracy score. There is no trained model or external data feed.</w:t>
      </w:r>
    </w:p>
    <w:p>
      <w:r>
        <w:br w:type="page"/>
      </w:r>
    </w:p>
    <w:p>
      <w:pPr>
        <w:keepNext/>
        <w:spacing w:before="100" w:after="40"/>
      </w:pPr>
      <w:r>
        <w:rPr>
          <w:rFonts w:ascii="Aptos Display" w:hAnsi="Aptos Display" w:eastAsia="Aptos Display"/>
          <w:b/>
          <w:color w:val="202A35"/>
          <w:sz w:val="24"/>
        </w:rPr>
        <w:t>5  OBSERVED TESTS, LIMITATIONS AND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3024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TEST AREA</w:t>
            </w:r>
          </w:p>
        </w:tc>
        <w:tc>
          <w:tcPr>
            <w:tcW w:type="dxa" w:w="7200"/>
            <w:vAlign w:val="center"/>
            <w:shd w:fill="202A3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VERIFIED OBSERVATION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Navigation / geometry</w:t>
            </w:r>
          </w:p>
        </w:tc>
        <w:tc>
          <w:tcPr>
            <w:tcW w:type="dxa" w:w="720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GUI smoke visits all five page keys and checks 880×580 construction.</w:t>
            </w:r>
          </w:p>
        </w:tc>
      </w:tr>
      <w:tr>
        <w:tc>
          <w:tcPr>
            <w:tcW w:type="dxa" w:w="3024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Input and risk</w:t>
            </w:r>
          </w:p>
        </w:tc>
        <w:tc>
          <w:tcPr>
            <w:tcW w:type="dxa" w:w="7200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Validation rejects invalid humidity; boundary tests pass at 36.9, 37 and 40°C.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Storage / CSV</w:t>
            </w:r>
          </w:p>
        </w:tc>
        <w:tc>
          <w:tcPr>
            <w:tcW w:type="dxa" w:w="720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CRUD, 150-row bootstrap and 50-row import/export round trip pass.</w:t>
            </w:r>
          </w:p>
        </w:tc>
      </w:tr>
      <w:tr>
        <w:tc>
          <w:tcPr>
            <w:tcW w:type="dxa" w:w="3024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Demonstration</w:t>
            </w:r>
          </w:p>
        </w:tc>
        <w:tc>
          <w:tcPr>
            <w:tcW w:type="dxa" w:w="7200"/>
            <w:vAlign w:val="center"/>
            <w:shd w:fill="E8F7F5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Start/stop simulation persists a reading; event stores 41.6°C as CRITICAL.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Suite total</w:t>
            </w:r>
          </w:p>
        </w:tc>
        <w:tc>
          <w:tcPr>
            <w:tcW w:type="dxa" w:w="7200"/>
            <w:vAlign w:val="center"/>
          </w:tcPr>
          <w:p>
            <w:pPr>
              <w:spacing w:after="20" w:before="20" w:line="240" w:lineRule="auto"/>
            </w:pPr>
            <w:r/>
            <w:r>
              <w:rPr>
                <w:rFonts w:ascii="Aptos" w:hAnsi="Aptos" w:eastAsia="Aptos"/>
                <w:b w:val="0"/>
                <w:color w:val="203344"/>
                <w:sz w:val="15"/>
              </w:rPr>
              <w:t>16/16 automated tests passed on 13 Oct 2026 using temporary databases.</w:t>
            </w:r>
          </w:p>
        </w:tc>
      </w:tr>
    </w:tbl>
    <w:p>
      <w:pPr>
        <w:keepNext/>
        <w:spacing w:before="60" w:after="40"/>
      </w:pPr>
      <w:r>
        <w:rPr>
          <w:rFonts w:ascii="Aptos Display" w:hAnsi="Aptos Display" w:eastAsia="Aptos Display"/>
          <w:b/>
          <w:color w:val="20AFA9"/>
          <w:sz w:val="20"/>
        </w:rPr>
        <w:t>Limits and conclusion</w:t>
      </w:r>
    </w:p>
    <w:p>
      <w:pPr>
        <w:spacing w:after="60" w:line="245" w:lineRule="auto"/>
      </w:pPr>
      <w:r>
        <w:rPr>
          <w:rFonts w:ascii="Aptos" w:hAnsi="Aptos" w:eastAsia="Aptos"/>
          <w:b w:val="0"/>
          <w:i w:val="0"/>
          <w:color w:val="203344"/>
          <w:sz w:val="18"/>
        </w:rPr>
        <w:t>The UI supports a clear classroom walkthrough, but only one authentic full-screen capture was supplied; other pages are covered by source inspection and smoke tests rather than screenshots. No usability study, screen-reader review, XLSX workflow, real sensor/API, official alert validation or forecast accuracy test is claimed. Imported, manually entered, synthetic and estimated values must remain distinct during a demonstration. Within those limits, the five-page workflow links understandable feedback with persistent local records.</w:t>
      </w:r>
    </w:p>
    <w:p>
      <w:pPr>
        <w:keepNext/>
        <w:spacing w:before="60" w:after="40"/>
      </w:pPr>
      <w:r>
        <w:rPr>
          <w:rFonts w:ascii="Aptos Display" w:hAnsi="Aptos Display" w:eastAsia="Aptos Display"/>
          <w:b/>
          <w:color w:val="20AFA9"/>
          <w:sz w:val="20"/>
        </w:rPr>
        <w:t>Selected references</w:t>
      </w:r>
    </w:p>
    <w:p>
      <w:pPr>
        <w:spacing w:after="0" w:line="245" w:lineRule="auto"/>
      </w:pPr>
      <w:r>
        <w:rPr>
          <w:rFonts w:ascii="Aptos" w:hAnsi="Aptos" w:eastAsia="Aptos"/>
          <w:b w:val="0"/>
          <w:i w:val="0"/>
          <w:color w:val="5D7080"/>
          <w:sz w:val="16"/>
        </w:rPr>
        <w:t>[1] Python Software Foundation. Python 3 Library Reference: tkinter, csv, sqlite3 and concurrent.futures. [2] SQLite Consortium, SQL Language Reference. [3] Supplied Python experiments 01–06 and project source files, preserved in the project workspace.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91" w:right="835" w:bottom="662" w:left="835" w:header="317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5D7080"/>
        <w:sz w:val="15"/>
      </w:rPr>
      <w:t xml:space="preserve">Climate Intelligence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b/>
        <w:color w:val="20AFA9"/>
        <w:sz w:val="14"/>
      </w:rPr>
      <w:t>CLIMATE INTELLIGENCE  /  PYTHON MINI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 w:eastAsia="Aptos"/>
      <w:color w:val="2033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Intelligence — Report C: USER INTERFACE, SIMULATION AND VALIDATION</dc:title>
  <dc:subject>Five-page student project report</dc:subject>
  <dc:creator>Student project report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