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80" w:before="0"/>
      </w:pPr>
      <w:r>
        <w:rPr>
          <w:b/>
          <w:bCs/>
          <w:color w:val="1B4F72"/>
          <w:sz w:val="38"/>
          <w:szCs w:val="38"/>
        </w:rPr>
        <w:t xml:space="preserve">Cara Memilih Saham Syariah yang Benar: Bukan Sekadar Ada di Daftar JII</w:t>
      </w:r>
    </w:p>
    <w:p>
      <w:pPr>
        <w:spacing w:after="200" w:before="0"/>
      </w:pPr>
      <w:r>
        <w:rPr>
          <w:b/>
          <w:bCs/>
          <w:color w:val="666666"/>
          <w:sz w:val="18"/>
          <w:szCs w:val="18"/>
        </w:rPr>
        <w:t xml:space="preserve">Keyword: </w:t>
      </w:r>
      <w:r>
        <w:rPr>
          <w:color w:val="666666"/>
          <w:sz w:val="18"/>
          <w:szCs w:val="18"/>
        </w:rPr>
        <w:t xml:space="preserve">saham syariah terbaik, cara pilih saham syariah  |  </w:t>
      </w:r>
      <w:r>
        <w:rPr>
          <w:b/>
          <w:bCs/>
          <w:color w:val="666666"/>
          <w:sz w:val="18"/>
          <w:szCs w:val="18"/>
        </w:rPr>
        <w:t xml:space="preserve">Cluster: </w:t>
      </w:r>
      <w:r>
        <w:rPr>
          <w:color w:val="666666"/>
          <w:sz w:val="18"/>
          <w:szCs w:val="18"/>
        </w:rPr>
        <w:t xml:space="preserve">Saham Syariah — Fondasi SEO  |  Target: Investor pemula yang ingin invest halal</w:t>
      </w:r>
    </w:p>
    <w:p>
      <w:pPr>
        <w:pBdr>
          <w:bottom w:val="single" w:color="AED6F1" w:sz="4" w:space="1"/>
        </w:pBdr>
        <w:spacing w:after="160" w:before="160"/>
      </w:pPr>
    </w:p>
    <w:p>
      <w:pPr>
        <w:spacing w:after="120" w:before="60"/>
      </w:pPr>
      <w:r>
        <w:rPr>
          <w:sz w:val="22"/>
          <w:szCs w:val="22"/>
        </w:rPr>
        <w:t xml:space="preserve">Banyak investor Muslim yang berpikir cara pilih saham syariah itu sederhana: buka daftar JII atau JII70, pilih yang kelihatan bagus, lalu beli. Selesai. Tapi benarkah sesederhana itu?</w:t>
      </w:r>
    </w:p>
    <w:p>
      <w:pPr>
        <w:spacing w:after="120" w:before="60"/>
      </w:pPr>
      <w:r>
        <w:rPr>
          <w:sz w:val="22"/>
          <w:szCs w:val="22"/>
        </w:rPr>
        <w:t xml:space="preserve">Kenyataannya, masuk daftar JII hanyalah syarat awal — bukan jaminan bahwa saham tersebut layak dibeli sekarang, apalagi menguntungkan. Ada saham yang masuk JII70 tapi fundamentalnya sedang memburuk. Ada yang skornya bagus secara teknikal tapi baru saja dikeluarkan dari daftar syariah bulan depan. Dan ada yang tidak masuk JII tapi sebenarnya lolos semua filter syariah DJIMI.</w:t>
      </w:r>
    </w:p>
    <w:p>
      <w:pPr>
        <w:spacing w:after="120" w:before="60"/>
      </w:pPr>
      <w:r>
        <w:rPr>
          <w:sz w:val="22"/>
          <w:szCs w:val="22"/>
        </w:rPr>
        <w:t xml:space="preserve">Artikel ini membahas cara memilih saham syariah terbaik secara menyeluruh — dari kriteria kehalalan, filter rasio keuangan, perbandingan indeks, hingga cara menggabungkannya dengan analisis teknikal untuk hasil yang lebih optimal.</w:t>
      </w:r>
    </w:p>
    <w:p>
      <w:pPr>
        <w:pBdr>
          <w:bottom w:val="single" w:color="AED6F1" w:sz="4" w:space="1"/>
        </w:pBdr>
        <w:spacing w:after="160" w:before="160"/>
      </w:pPr>
    </w:p>
    <w:p>
      <w:pPr>
        <w:pStyle w:val="Heading2"/>
        <w:spacing w:after="140" w:before="340"/>
      </w:pPr>
      <w:r>
        <w:rPr>
          <w:b/>
          <w:bCs/>
          <w:color w:val="1B4F72"/>
          <w:sz w:val="28"/>
          <w:szCs w:val="28"/>
        </w:rPr>
        <w:t xml:space="preserve">Apa Itu Saham Syariah dan Siapa yang Menentukannya?</w:t>
      </w:r>
    </w:p>
    <w:p>
      <w:pPr>
        <w:spacing w:after="120" w:before="60"/>
      </w:pPr>
      <w:r>
        <w:rPr>
          <w:sz w:val="22"/>
          <w:szCs w:val="22"/>
        </w:rPr>
        <w:t xml:space="preserve">Saham syariah adalah saham perusahaan yang memenuhi kriteria prinsip syariah Islam, meliputi dua aspek utama: kehalalan bisnis (aspek kualitatif) dan kesehatan struktur keuangan (aspek kuantitatif).</w:t>
      </w:r>
    </w:p>
    <w:p>
      <w:pPr>
        <w:spacing w:after="120" w:before="60"/>
      </w:pPr>
      <w:r>
        <w:rPr>
          <w:sz w:val="22"/>
          <w:szCs w:val="22"/>
        </w:rPr>
        <w:t xml:space="preserve">Di Indonesia, penetapan daftar saham syariah dilakukan oleh Otoritas Jasa Keuangan (OJK) bekerja sama dengan Dewan Syariah Nasional Majelis Ulama Indonesia (DSN-MUI). Daftar ini diperbarui dua kali setahun — setiap Mei dan November — melalui Daftar Efek Syariah (DES).</w:t>
      </w:r>
    </w:p>
    <w:p>
      <w:pPr>
        <w:spacing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13"/>
        <w:gridCol w:w="3413"/>
      </w:tblGrid>
      <w:tr>
        <w:trPr>
          <w:tblHeader/>
        </w:trPr>
        <w:tc>
          <w:tcPr>
            <w:tcW w:type="dxa" w:w="2200"/>
            <w:tcBorders>
              <w:top w:val="single" w:color="AED6F1" w:sz="4"/>
              <w:left w:val="single" w:color="AED6F1" w:sz="4"/>
              <w:bottom w:val="single" w:color="AED6F1" w:sz="4"/>
              <w:right w:val="single" w:color="AED6F1" w:sz="4"/>
            </w:tcBorders>
            <w:shd w:fill="1B4F72" w:val="clear"/>
            <w:tcMar>
              <w:top w:type="dxa" w:w="80"/>
              <w:left w:type="dxa" w:w="140"/>
              <w:bottom w:type="dxa" w:w="80"/>
              <w:right w:type="dxa" w:w="140"/>
            </w:tcMar>
          </w:tcPr>
          <w:p>
            <w:r>
              <w:rPr>
                <w:b/>
                <w:bCs/>
                <w:color w:val="FFFFFF"/>
                <w:sz w:val="20"/>
                <w:szCs w:val="20"/>
              </w:rPr>
              <w:t xml:space="preserve">Indeks</w:t>
            </w:r>
          </w:p>
        </w:tc>
        <w:tc>
          <w:tcPr>
            <w:tcW w:type="dxa" w:w="3413"/>
            <w:tcBorders>
              <w:top w:val="single" w:color="AED6F1" w:sz="4"/>
              <w:left w:val="single" w:color="AED6F1" w:sz="4"/>
              <w:bottom w:val="single" w:color="AED6F1" w:sz="4"/>
              <w:right w:val="single" w:color="AED6F1" w:sz="4"/>
            </w:tcBorders>
            <w:shd w:fill="1B4F72" w:val="clear"/>
            <w:tcMar>
              <w:top w:type="dxa" w:w="80"/>
              <w:left w:type="dxa" w:w="140"/>
              <w:bottom w:type="dxa" w:w="80"/>
              <w:right w:type="dxa" w:w="140"/>
            </w:tcMar>
          </w:tcPr>
          <w:p>
            <w:r>
              <w:rPr>
                <w:b/>
                <w:bCs/>
                <w:color w:val="FFFFFF"/>
                <w:sz w:val="20"/>
                <w:szCs w:val="20"/>
              </w:rPr>
              <w:t xml:space="preserve">Isi</w:t>
            </w:r>
          </w:p>
        </w:tc>
        <w:tc>
          <w:tcPr>
            <w:tcW w:type="dxa" w:w="3413"/>
            <w:tcBorders>
              <w:top w:val="single" w:color="AED6F1" w:sz="4"/>
              <w:left w:val="single" w:color="AED6F1" w:sz="4"/>
              <w:bottom w:val="single" w:color="AED6F1" w:sz="4"/>
              <w:right w:val="single" w:color="AED6F1" w:sz="4"/>
            </w:tcBorders>
            <w:shd w:fill="1B4F72" w:val="clear"/>
            <w:tcMar>
              <w:top w:type="dxa" w:w="80"/>
              <w:left w:type="dxa" w:w="140"/>
              <w:bottom w:type="dxa" w:w="80"/>
              <w:right w:type="dxa" w:w="140"/>
            </w:tcMar>
          </w:tcPr>
          <w:p>
            <w:r>
              <w:rPr>
                <w:b/>
                <w:bCs/>
                <w:color w:val="FFFFFF"/>
                <w:sz w:val="20"/>
                <w:szCs w:val="20"/>
              </w:rPr>
              <w:t xml:space="preserve">Direvisi</w:t>
            </w:r>
          </w:p>
        </w:tc>
      </w:tr>
      <w:tr>
        <w:tc>
          <w:tcPr>
            <w:tcW w:type="dxa" w:w="2200"/>
            <w:tcBorders>
              <w:top w:val="single" w:color="AED6F1" w:sz="4"/>
              <w:left w:val="single" w:color="AED6F1" w:sz="4"/>
              <w:bottom w:val="single" w:color="AED6F1" w:sz="4"/>
              <w:right w:val="single" w:color="AED6F1" w:sz="4"/>
            </w:tcBorders>
            <w:shd w:fill="D1F2EB" w:val="clear"/>
            <w:tcMar>
              <w:top w:type="dxa" w:w="80"/>
              <w:left w:type="dxa" w:w="140"/>
              <w:bottom w:type="dxa" w:w="80"/>
              <w:right w:type="dxa" w:w="140"/>
            </w:tcMar>
          </w:tcPr>
          <w:p>
            <w:r>
              <w:rPr>
                <w:b/>
                <w:bCs/>
                <w:color w:val="117A65"/>
                <w:sz w:val="20"/>
                <w:szCs w:val="20"/>
              </w:rPr>
              <w:t xml:space="preserve">ISSI</w:t>
            </w:r>
          </w:p>
        </w:tc>
        <w:tc>
          <w:tcPr>
            <w:tcW w:type="dxa" w:w="3413"/>
            <w:tcBorders>
              <w:top w:val="single" w:color="AED6F1" w:sz="4"/>
              <w:left w:val="single" w:color="AED6F1" w:sz="4"/>
              <w:bottom w:val="single" w:color="AED6F1" w:sz="4"/>
              <w:right w:val="single" w:color="AED6F1" w:sz="4"/>
            </w:tcBorders>
            <w:shd w:fill="D1F2EB" w:val="clear"/>
            <w:tcMar>
              <w:top w:type="dxa" w:w="80"/>
              <w:left w:type="dxa" w:w="140"/>
              <w:bottom w:type="dxa" w:w="80"/>
              <w:right w:type="dxa" w:w="140"/>
            </w:tcMar>
          </w:tcPr>
          <w:p>
            <w:r>
              <w:rPr>
                <w:b w:val="false"/>
                <w:bCs w:val="false"/>
                <w:color w:val="222222"/>
                <w:sz w:val="20"/>
                <w:szCs w:val="20"/>
              </w:rPr>
              <w:t xml:space="preserve">Seluruh saham syariah di IDX (~400–500 saham)</w:t>
            </w:r>
          </w:p>
        </w:tc>
        <w:tc>
          <w:tcPr>
            <w:tcW w:type="dxa" w:w="3413"/>
            <w:tcBorders>
              <w:top w:val="single" w:color="AED6F1" w:sz="4"/>
              <w:left w:val="single" w:color="AED6F1" w:sz="4"/>
              <w:bottom w:val="single" w:color="AED6F1" w:sz="4"/>
              <w:right w:val="single" w:color="AED6F1" w:sz="4"/>
            </w:tcBorders>
            <w:shd w:fill="D1F2EB" w:val="clear"/>
            <w:tcMar>
              <w:top w:type="dxa" w:w="80"/>
              <w:left w:type="dxa" w:w="140"/>
              <w:bottom w:type="dxa" w:w="80"/>
              <w:right w:type="dxa" w:w="140"/>
            </w:tcMar>
          </w:tcPr>
          <w:p>
            <w:r>
              <w:rPr>
                <w:b w:val="false"/>
                <w:bCs w:val="false"/>
                <w:color w:val="222222"/>
                <w:sz w:val="20"/>
                <w:szCs w:val="20"/>
              </w:rPr>
              <w:t xml:space="preserve">2× setahun (Mei &amp; November)</w:t>
            </w:r>
          </w:p>
        </w:tc>
      </w:tr>
      <w:tr>
        <w:tc>
          <w:tcPr>
            <w:tcW w:type="dxa" w:w="2200"/>
            <w:tcBorders>
              <w:top w:val="single" w:color="AED6F1" w:sz="4"/>
              <w:left w:val="single" w:color="AED6F1" w:sz="4"/>
              <w:bottom w:val="single" w:color="AED6F1" w:sz="4"/>
              <w:right w:val="single" w:color="AED6F1" w:sz="4"/>
            </w:tcBorders>
            <w:shd w:fill="EAFAF1" w:val="clear"/>
            <w:tcMar>
              <w:top w:type="dxa" w:w="80"/>
              <w:left w:type="dxa" w:w="140"/>
              <w:bottom w:type="dxa" w:w="80"/>
              <w:right w:type="dxa" w:w="140"/>
            </w:tcMar>
          </w:tcPr>
          <w:p>
            <w:r>
              <w:rPr>
                <w:b/>
                <w:bCs/>
                <w:color w:val="145A32"/>
                <w:sz w:val="20"/>
                <w:szCs w:val="20"/>
              </w:rPr>
              <w:t xml:space="preserve">JII70</w:t>
            </w:r>
          </w:p>
        </w:tc>
        <w:tc>
          <w:tcPr>
            <w:tcW w:type="dxa" w:w="3413"/>
            <w:tcBorders>
              <w:top w:val="single" w:color="AED6F1" w:sz="4"/>
              <w:left w:val="single" w:color="AED6F1" w:sz="4"/>
              <w:bottom w:val="single" w:color="AED6F1" w:sz="4"/>
              <w:right w:val="single" w:color="AED6F1" w:sz="4"/>
            </w:tcBorders>
            <w:shd w:fill="EAFAF1" w:val="clear"/>
            <w:tcMar>
              <w:top w:type="dxa" w:w="80"/>
              <w:left w:type="dxa" w:w="140"/>
              <w:bottom w:type="dxa" w:w="80"/>
              <w:right w:type="dxa" w:w="140"/>
            </w:tcMar>
          </w:tcPr>
          <w:p>
            <w:r>
              <w:rPr>
                <w:b w:val="false"/>
                <w:bCs w:val="false"/>
                <w:color w:val="222222"/>
                <w:sz w:val="20"/>
                <w:szCs w:val="20"/>
              </w:rPr>
              <w:t xml:space="preserve">70 saham syariah paling likuid dari ISSI</w:t>
            </w:r>
          </w:p>
        </w:tc>
        <w:tc>
          <w:tcPr>
            <w:tcW w:type="dxa" w:w="3413"/>
            <w:tcBorders>
              <w:top w:val="single" w:color="AED6F1" w:sz="4"/>
              <w:left w:val="single" w:color="AED6F1" w:sz="4"/>
              <w:bottom w:val="single" w:color="AED6F1" w:sz="4"/>
              <w:right w:val="single" w:color="AED6F1" w:sz="4"/>
            </w:tcBorders>
            <w:shd w:fill="EAFAF1" w:val="clear"/>
            <w:tcMar>
              <w:top w:type="dxa" w:w="80"/>
              <w:left w:type="dxa" w:w="140"/>
              <w:bottom w:type="dxa" w:w="80"/>
              <w:right w:type="dxa" w:w="140"/>
            </w:tcMar>
          </w:tcPr>
          <w:p>
            <w:r>
              <w:rPr>
                <w:b w:val="false"/>
                <w:bCs w:val="false"/>
                <w:color w:val="222222"/>
                <w:sz w:val="20"/>
                <w:szCs w:val="20"/>
              </w:rPr>
              <w:t xml:space="preserve">2× setahun</w:t>
            </w:r>
          </w:p>
        </w:tc>
      </w:tr>
      <w:tr>
        <w:tc>
          <w:tcPr>
            <w:tcW w:type="dxa" w:w="2200"/>
            <w:tcBorders>
              <w:top w:val="single" w:color="AED6F1" w:sz="4"/>
              <w:left w:val="single" w:color="AED6F1" w:sz="4"/>
              <w:bottom w:val="single" w:color="AED6F1" w:sz="4"/>
              <w:right w:val="single" w:color="AED6F1" w:sz="4"/>
            </w:tcBorders>
            <w:shd w:fill="D5F5E3" w:val="clear"/>
            <w:tcMar>
              <w:top w:type="dxa" w:w="80"/>
              <w:left w:type="dxa" w:w="140"/>
              <w:bottom w:type="dxa" w:w="80"/>
              <w:right w:type="dxa" w:w="140"/>
            </w:tcMar>
          </w:tcPr>
          <w:p>
            <w:r>
              <w:rPr>
                <w:b/>
                <w:bCs/>
                <w:color w:val="145A32"/>
                <w:sz w:val="20"/>
                <w:szCs w:val="20"/>
              </w:rPr>
              <w:t xml:space="preserve">JII (JII30)</w:t>
            </w:r>
          </w:p>
        </w:tc>
        <w:tc>
          <w:tcPr>
            <w:tcW w:type="dxa" w:w="3413"/>
            <w:tcBorders>
              <w:top w:val="single" w:color="AED6F1" w:sz="4"/>
              <w:left w:val="single" w:color="AED6F1" w:sz="4"/>
              <w:bottom w:val="single" w:color="AED6F1" w:sz="4"/>
              <w:right w:val="single" w:color="AED6F1" w:sz="4"/>
            </w:tcBorders>
            <w:shd w:fill="D5F5E3" w:val="clear"/>
            <w:tcMar>
              <w:top w:type="dxa" w:w="80"/>
              <w:left w:type="dxa" w:w="140"/>
              <w:bottom w:type="dxa" w:w="80"/>
              <w:right w:type="dxa" w:w="140"/>
            </w:tcMar>
          </w:tcPr>
          <w:p>
            <w:r>
              <w:rPr>
                <w:b w:val="false"/>
                <w:bCs w:val="false"/>
                <w:color w:val="222222"/>
                <w:sz w:val="20"/>
                <w:szCs w:val="20"/>
              </w:rPr>
              <w:t xml:space="preserve">30 saham syariah paling likuid dari JII70</w:t>
            </w:r>
          </w:p>
        </w:tc>
        <w:tc>
          <w:tcPr>
            <w:tcW w:type="dxa" w:w="3413"/>
            <w:tcBorders>
              <w:top w:val="single" w:color="AED6F1" w:sz="4"/>
              <w:left w:val="single" w:color="AED6F1" w:sz="4"/>
              <w:bottom w:val="single" w:color="AED6F1" w:sz="4"/>
              <w:right w:val="single" w:color="AED6F1" w:sz="4"/>
            </w:tcBorders>
            <w:shd w:fill="D5F5E3" w:val="clear"/>
            <w:tcMar>
              <w:top w:type="dxa" w:w="80"/>
              <w:left w:type="dxa" w:w="140"/>
              <w:bottom w:type="dxa" w:w="80"/>
              <w:right w:type="dxa" w:w="140"/>
            </w:tcMar>
          </w:tcPr>
          <w:p>
            <w:r>
              <w:rPr>
                <w:b w:val="false"/>
                <w:bCs w:val="false"/>
                <w:color w:val="222222"/>
                <w:sz w:val="20"/>
                <w:szCs w:val="20"/>
              </w:rPr>
              <w:t xml:space="preserve">2× setahun</w:t>
            </w:r>
          </w:p>
        </w:tc>
      </w:tr>
      <w:tr>
        <w:tc>
          <w:tcPr>
            <w:tcW w:type="dxa" w:w="2200"/>
            <w:tcBorders>
              <w:top w:val="single" w:color="AED6F1" w:sz="4"/>
              <w:left w:val="single" w:color="AED6F1" w:sz="4"/>
              <w:bottom w:val="single" w:color="AED6F1" w:sz="4"/>
              <w:right w:val="single" w:color="AED6F1" w:sz="4"/>
            </w:tcBorders>
            <w:shd w:fill="D6EAF8" w:val="clear"/>
            <w:tcMar>
              <w:top w:type="dxa" w:w="80"/>
              <w:left w:type="dxa" w:w="140"/>
              <w:bottom w:type="dxa" w:w="80"/>
              <w:right w:type="dxa" w:w="140"/>
            </w:tcMar>
          </w:tcPr>
          <w:p>
            <w:r>
              <w:rPr>
                <w:b/>
                <w:bCs/>
                <w:color w:val="1B4F72"/>
                <w:sz w:val="20"/>
                <w:szCs w:val="20"/>
              </w:rPr>
              <w:t xml:space="preserve">DJIMI</w:t>
            </w:r>
          </w:p>
        </w:tc>
        <w:tc>
          <w:tcPr>
            <w:tcW w:type="dxa" w:w="3413"/>
            <w:tcBorders>
              <w:top w:val="single" w:color="AED6F1" w:sz="4"/>
              <w:left w:val="single" w:color="AED6F1" w:sz="4"/>
              <w:bottom w:val="single" w:color="AED6F1" w:sz="4"/>
              <w:right w:val="single" w:color="AED6F1" w:sz="4"/>
            </w:tcBorders>
            <w:shd w:fill="D6EAF8" w:val="clear"/>
            <w:tcMar>
              <w:top w:type="dxa" w:w="80"/>
              <w:left w:type="dxa" w:w="140"/>
              <w:bottom w:type="dxa" w:w="80"/>
              <w:right w:type="dxa" w:w="140"/>
            </w:tcMar>
          </w:tcPr>
          <w:p>
            <w:r>
              <w:rPr>
                <w:b w:val="false"/>
                <w:bCs w:val="false"/>
                <w:color w:val="222222"/>
                <w:sz w:val="20"/>
                <w:szCs w:val="20"/>
              </w:rPr>
              <w:t xml:space="preserve">Standar global Dow Jones Islamic Market Index — berlaku juga untuk saham AS</w:t>
            </w:r>
          </w:p>
        </w:tc>
        <w:tc>
          <w:tcPr>
            <w:tcW w:type="dxa" w:w="3413"/>
            <w:tcBorders>
              <w:top w:val="single" w:color="AED6F1" w:sz="4"/>
              <w:left w:val="single" w:color="AED6F1" w:sz="4"/>
              <w:bottom w:val="single" w:color="AED6F1" w:sz="4"/>
              <w:right w:val="single" w:color="AED6F1" w:sz="4"/>
            </w:tcBorders>
            <w:shd w:fill="D6EAF8" w:val="clear"/>
            <w:tcMar>
              <w:top w:type="dxa" w:w="80"/>
              <w:left w:type="dxa" w:w="140"/>
              <w:bottom w:type="dxa" w:w="80"/>
              <w:right w:type="dxa" w:w="140"/>
            </w:tcMar>
          </w:tcPr>
          <w:p>
            <w:r>
              <w:rPr>
                <w:b w:val="false"/>
                <w:bCs w:val="false"/>
                <w:color w:val="222222"/>
                <w:sz w:val="20"/>
                <w:szCs w:val="20"/>
              </w:rPr>
              <w:t xml:space="preserve">Berkelanjutan (real-time screening)</w:t>
            </w:r>
          </w:p>
        </w:tc>
      </w:tr>
    </w:tbl>
    <w:p>
      <w:pPr>
        <w:spacing w:before="120"/>
      </w:pPr>
    </w:p>
    <w:p>
      <w:pPr>
        <w:pBdr>
          <w:left w:val="single" w:color="D35400" w:sz="20"/>
        </w:pBdr>
        <w:shd w:fill="FEF5EC" w:val="clear"/>
        <w:spacing w:after="120" w:before="120"/>
        <w:ind w:left="360"/>
      </w:pPr>
      <w:r>
        <w:rPr>
          <w:b/>
          <w:bCs/>
          <w:color w:val="D35400"/>
          <w:sz w:val="22"/>
          <w:szCs w:val="22"/>
        </w:rPr>
        <w:t xml:space="preserve">Penting: </w:t>
      </w:r>
      <w:r>
        <w:rPr>
          <w:color w:val="333333"/>
          <w:sz w:val="22"/>
          <w:szCs w:val="22"/>
        </w:rPr>
        <w:t xml:space="preserve">Indeks JII dan JII70 bukan sekadar daftar saham halal — ada filter tambahan berupa likuiditas dan kapitalisasi pasar. Saham yang sangat halal tapi tidak liquid mungkin tidak masuk JII70, tapi tetap masuk ISSI.</w:t>
      </w:r>
    </w:p>
    <w:p>
      <w:pPr>
        <w:pBdr>
          <w:bottom w:val="single" w:color="AED6F1" w:sz="4" w:space="1"/>
        </w:pBdr>
        <w:spacing w:after="160" w:before="160"/>
      </w:pPr>
    </w:p>
    <w:p>
      <w:pPr>
        <w:pStyle w:val="Heading2"/>
        <w:spacing w:after="140" w:before="340"/>
      </w:pPr>
      <w:r>
        <w:rPr>
          <w:b/>
          <w:bCs/>
          <w:color w:val="1B4F72"/>
          <w:sz w:val="28"/>
          <w:szCs w:val="28"/>
        </w:rPr>
        <w:t xml:space="preserve">Dua Lapis Kriteria Saham Syariah yang Harus Dipahami</w:t>
      </w:r>
    </w:p>
    <w:p>
      <w:pPr>
        <w:spacing w:after="120" w:before="60"/>
      </w:pPr>
      <w:r>
        <w:rPr>
          <w:sz w:val="22"/>
          <w:szCs w:val="22"/>
        </w:rPr>
        <w:t xml:space="preserve">Untuk benar-benar memahami cara pilih saham syariah, kamu perlu mengenal dua lapis kriteria yang digunakan — baik oleh OJK/DSN-MUI maupun standar global DJIMI:</w:t>
      </w:r>
    </w:p>
    <w:p>
      <w:pPr>
        <w:spacing w:before="80"/>
      </w:pPr>
    </w:p>
    <w:p>
      <w:pPr>
        <w:pStyle w:val="Heading3"/>
        <w:spacing w:after="80" w:before="240"/>
      </w:pPr>
      <w:r>
        <w:rPr>
          <w:b/>
          <w:bCs/>
          <w:color w:val="2980B9"/>
          <w:sz w:val="24"/>
          <w:szCs w:val="24"/>
        </w:rPr>
        <w:t xml:space="preserve">Lapis 1 — Kriteria Kualitatif: Bidang Usaha Halal</w:t>
      </w:r>
    </w:p>
    <w:p>
      <w:pPr>
        <w:spacing w:after="120" w:before="60"/>
      </w:pPr>
      <w:r>
        <w:rPr>
          <w:sz w:val="22"/>
          <w:szCs w:val="22"/>
        </w:rPr>
        <w:t xml:space="preserve">Perusahaan tidak boleh bergerak di bidang usaha yang dilarang secara syariah. Berikut daftar bidang yang otomatis mendiskualifikasi sebuah saham: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AED6F1" w:sz="4"/>
              <w:left w:val="single" w:color="AED6F1" w:sz="4"/>
              <w:bottom w:val="single" w:color="AED6F1" w:sz="4"/>
              <w:right w:val="single" w:color="AED6F1" w:sz="4"/>
            </w:tcBorders>
            <w:shd w:fill="C0392B" w:val="clear"/>
            <w:tcMar>
              <w:top w:type="dxa" w:w="80"/>
              <w:left w:type="dxa" w:w="140"/>
              <w:bottom w:type="dxa" w:w="80"/>
              <w:right w:type="dxa" w:w="140"/>
            </w:tcMar>
          </w:tcPr>
          <w:p>
            <w:r>
              <w:rPr>
                <w:b/>
                <w:bCs/>
                <w:color w:val="FFFFFF"/>
                <w:sz w:val="20"/>
                <w:szCs w:val="20"/>
              </w:rPr>
              <w:t xml:space="preserve">Tidak Halal (Otomatis Gugur)</w:t>
            </w:r>
          </w:p>
        </w:tc>
        <w:tc>
          <w:tcPr>
            <w:tcW w:type="dxa" w:w="4513"/>
            <w:tcBorders>
              <w:top w:val="single" w:color="AED6F1" w:sz="4"/>
              <w:left w:val="single" w:color="AED6F1" w:sz="4"/>
              <w:bottom w:val="single" w:color="AED6F1" w:sz="4"/>
              <w:right w:val="single" w:color="AED6F1" w:sz="4"/>
            </w:tcBorders>
            <w:shd w:fill="C0392B" w:val="clear"/>
            <w:tcMar>
              <w:top w:type="dxa" w:w="80"/>
              <w:left w:type="dxa" w:w="140"/>
              <w:bottom w:type="dxa" w:w="80"/>
              <w:right w:type="dxa" w:w="140"/>
            </w:tcMar>
          </w:tcPr>
          <w:p>
            <w:r>
              <w:rPr>
                <w:b/>
                <w:bCs/>
                <w:color w:val="FFFFFF"/>
                <w:sz w:val="20"/>
                <w:szCs w:val="20"/>
              </w:rPr>
              <w:t xml:space="preserve">Contoh Perusahaan / Sektor</w:t>
            </w:r>
          </w:p>
        </w:tc>
      </w:tr>
      <w:tr>
        <w:tc>
          <w:tcPr>
            <w:tcW w:type="dxa" w:w="4513"/>
            <w:tcBorders>
              <w:top w:val="single" w:color="AED6F1" w:sz="4"/>
              <w:left w:val="single" w:color="AED6F1" w:sz="4"/>
              <w:bottom w:val="single" w:color="AED6F1" w:sz="4"/>
              <w:right w:val="single" w:color="AED6F1" w:sz="4"/>
            </w:tcBorders>
            <w:shd w:fill="FDEDEC" w:val="clear"/>
            <w:tcMar>
              <w:top w:type="dxa" w:w="80"/>
              <w:left w:type="dxa" w:w="140"/>
              <w:bottom w:type="dxa" w:w="80"/>
              <w:right w:type="dxa" w:w="140"/>
            </w:tcMar>
          </w:tcPr>
          <w:p>
            <w:r>
              <w:rPr>
                <w:b w:val="false"/>
                <w:bCs w:val="false"/>
                <w:color w:val="222222"/>
                <w:sz w:val="20"/>
                <w:szCs w:val="20"/>
              </w:rPr>
              <w:t xml:space="preserve">Perbankan &amp; keuangan berbasis bunga (riba)</w:t>
            </w:r>
          </w:p>
        </w:tc>
        <w:tc>
          <w:tcPr>
            <w:tcW w:type="dxa" w:w="4513"/>
            <w:tcBorders>
              <w:top w:val="single" w:color="AED6F1" w:sz="4"/>
              <w:left w:val="single" w:color="AED6F1" w:sz="4"/>
              <w:bottom w:val="single" w:color="AED6F1" w:sz="4"/>
              <w:right w:val="single" w:color="AED6F1" w:sz="4"/>
            </w:tcBorders>
            <w:shd w:fill="FDEDEC" w:val="clear"/>
            <w:tcMar>
              <w:top w:type="dxa" w:w="80"/>
              <w:left w:type="dxa" w:w="140"/>
              <w:bottom w:type="dxa" w:w="80"/>
              <w:right w:type="dxa" w:w="140"/>
            </w:tcMar>
          </w:tcPr>
          <w:p>
            <w:r>
              <w:rPr>
                <w:b w:val="false"/>
                <w:bCs w:val="false"/>
                <w:color w:val="222222"/>
                <w:sz w:val="20"/>
                <w:szCs w:val="20"/>
              </w:rPr>
              <w:t xml:space="preserve">Bank konvensional, multifinance non-syariah</w:t>
            </w:r>
          </w:p>
        </w:tc>
      </w:tr>
      <w:tr>
        <w:tc>
          <w:tcPr>
            <w:tcW w:type="dxa" w:w="4513"/>
            <w:tcBorders>
              <w:top w:val="single" w:color="AED6F1" w:sz="4"/>
              <w:left w:val="single" w:color="AED6F1" w:sz="4"/>
              <w:bottom w:val="single" w:color="AED6F1" w:sz="4"/>
              <w:right w:val="single" w:color="AED6F1" w:sz="4"/>
            </w:tcBorders>
            <w:shd w:fill="FEE4E4" w:val="clear"/>
            <w:tcMar>
              <w:top w:type="dxa" w:w="80"/>
              <w:left w:type="dxa" w:w="140"/>
              <w:bottom w:type="dxa" w:w="80"/>
              <w:right w:type="dxa" w:w="140"/>
            </w:tcMar>
          </w:tcPr>
          <w:p>
            <w:r>
              <w:rPr>
                <w:b w:val="false"/>
                <w:bCs w:val="false"/>
                <w:color w:val="222222"/>
                <w:sz w:val="20"/>
                <w:szCs w:val="20"/>
              </w:rPr>
              <w:t xml:space="preserve">Minuman keras dan rokok</w:t>
            </w:r>
          </w:p>
        </w:tc>
        <w:tc>
          <w:tcPr>
            <w:tcW w:type="dxa" w:w="4513"/>
            <w:tcBorders>
              <w:top w:val="single" w:color="AED6F1" w:sz="4"/>
              <w:left w:val="single" w:color="AED6F1" w:sz="4"/>
              <w:bottom w:val="single" w:color="AED6F1" w:sz="4"/>
              <w:right w:val="single" w:color="AED6F1" w:sz="4"/>
            </w:tcBorders>
            <w:shd w:fill="FEE4E4" w:val="clear"/>
            <w:tcMar>
              <w:top w:type="dxa" w:w="80"/>
              <w:left w:type="dxa" w:w="140"/>
              <w:bottom w:type="dxa" w:w="80"/>
              <w:right w:type="dxa" w:w="140"/>
            </w:tcMar>
          </w:tcPr>
          <w:p>
            <w:r>
              <w:rPr>
                <w:b w:val="false"/>
                <w:bCs w:val="false"/>
                <w:color w:val="222222"/>
                <w:sz w:val="20"/>
                <w:szCs w:val="20"/>
              </w:rPr>
              <w:t xml:space="preserve">Produsen rokok, distributor alkohol</w:t>
            </w:r>
          </w:p>
        </w:tc>
      </w:tr>
      <w:tr>
        <w:tc>
          <w:tcPr>
            <w:tcW w:type="dxa" w:w="4513"/>
            <w:tcBorders>
              <w:top w:val="single" w:color="AED6F1" w:sz="4"/>
              <w:left w:val="single" w:color="AED6F1" w:sz="4"/>
              <w:bottom w:val="single" w:color="AED6F1" w:sz="4"/>
              <w:right w:val="single" w:color="AED6F1" w:sz="4"/>
            </w:tcBorders>
            <w:shd w:fill="FDEDEC" w:val="clear"/>
            <w:tcMar>
              <w:top w:type="dxa" w:w="80"/>
              <w:left w:type="dxa" w:w="140"/>
              <w:bottom w:type="dxa" w:w="80"/>
              <w:right w:type="dxa" w:w="140"/>
            </w:tcMar>
          </w:tcPr>
          <w:p>
            <w:r>
              <w:rPr>
                <w:b w:val="false"/>
                <w:bCs w:val="false"/>
                <w:color w:val="222222"/>
                <w:sz w:val="20"/>
                <w:szCs w:val="20"/>
              </w:rPr>
              <w:t xml:space="preserve">Perjudian dan hiburan terlarang</w:t>
            </w:r>
          </w:p>
        </w:tc>
        <w:tc>
          <w:tcPr>
            <w:tcW w:type="dxa" w:w="4513"/>
            <w:tcBorders>
              <w:top w:val="single" w:color="AED6F1" w:sz="4"/>
              <w:left w:val="single" w:color="AED6F1" w:sz="4"/>
              <w:bottom w:val="single" w:color="AED6F1" w:sz="4"/>
              <w:right w:val="single" w:color="AED6F1" w:sz="4"/>
            </w:tcBorders>
            <w:shd w:fill="FDEDEC" w:val="clear"/>
            <w:tcMar>
              <w:top w:type="dxa" w:w="80"/>
              <w:left w:type="dxa" w:w="140"/>
              <w:bottom w:type="dxa" w:w="80"/>
              <w:right w:type="dxa" w:w="140"/>
            </w:tcMar>
          </w:tcPr>
          <w:p>
            <w:r>
              <w:rPr>
                <w:b w:val="false"/>
                <w:bCs w:val="false"/>
                <w:color w:val="222222"/>
                <w:sz w:val="20"/>
                <w:szCs w:val="20"/>
              </w:rPr>
              <w:t xml:space="preserve">Kasino, platform taruhan online</w:t>
            </w:r>
          </w:p>
        </w:tc>
      </w:tr>
      <w:tr>
        <w:tc>
          <w:tcPr>
            <w:tcW w:type="dxa" w:w="4513"/>
            <w:tcBorders>
              <w:top w:val="single" w:color="AED6F1" w:sz="4"/>
              <w:left w:val="single" w:color="AED6F1" w:sz="4"/>
              <w:bottom w:val="single" w:color="AED6F1" w:sz="4"/>
              <w:right w:val="single" w:color="AED6F1" w:sz="4"/>
            </w:tcBorders>
            <w:shd w:fill="FEE4E4" w:val="clear"/>
            <w:tcMar>
              <w:top w:type="dxa" w:w="80"/>
              <w:left w:type="dxa" w:w="140"/>
              <w:bottom w:type="dxa" w:w="80"/>
              <w:right w:type="dxa" w:w="140"/>
            </w:tcMar>
          </w:tcPr>
          <w:p>
            <w:r>
              <w:rPr>
                <w:b w:val="false"/>
                <w:bCs w:val="false"/>
                <w:color w:val="222222"/>
                <w:sz w:val="20"/>
                <w:szCs w:val="20"/>
              </w:rPr>
              <w:t xml:space="preserve">Produk babi dan turunannya</w:t>
            </w:r>
          </w:p>
        </w:tc>
        <w:tc>
          <w:tcPr>
            <w:tcW w:type="dxa" w:w="4513"/>
            <w:tcBorders>
              <w:top w:val="single" w:color="AED6F1" w:sz="4"/>
              <w:left w:val="single" w:color="AED6F1" w:sz="4"/>
              <w:bottom w:val="single" w:color="AED6F1" w:sz="4"/>
              <w:right w:val="single" w:color="AED6F1" w:sz="4"/>
            </w:tcBorders>
            <w:shd w:fill="FEE4E4" w:val="clear"/>
            <w:tcMar>
              <w:top w:type="dxa" w:w="80"/>
              <w:left w:type="dxa" w:w="140"/>
              <w:bottom w:type="dxa" w:w="80"/>
              <w:right w:type="dxa" w:w="140"/>
            </w:tcMar>
          </w:tcPr>
          <w:p>
            <w:r>
              <w:rPr>
                <w:b w:val="false"/>
                <w:bCs w:val="false"/>
                <w:color w:val="222222"/>
                <w:sz w:val="20"/>
                <w:szCs w:val="20"/>
              </w:rPr>
              <w:t xml:space="preserve">Produsen makanan non-halal tertentu</w:t>
            </w:r>
          </w:p>
        </w:tc>
      </w:tr>
      <w:tr>
        <w:tc>
          <w:tcPr>
            <w:tcW w:type="dxa" w:w="4513"/>
            <w:tcBorders>
              <w:top w:val="single" w:color="AED6F1" w:sz="4"/>
              <w:left w:val="single" w:color="AED6F1" w:sz="4"/>
              <w:bottom w:val="single" w:color="AED6F1" w:sz="4"/>
              <w:right w:val="single" w:color="AED6F1" w:sz="4"/>
            </w:tcBorders>
            <w:shd w:fill="FDEDEC" w:val="clear"/>
            <w:tcMar>
              <w:top w:type="dxa" w:w="80"/>
              <w:left w:type="dxa" w:w="140"/>
              <w:bottom w:type="dxa" w:w="80"/>
              <w:right w:type="dxa" w:w="140"/>
            </w:tcMar>
          </w:tcPr>
          <w:p>
            <w:r>
              <w:rPr>
                <w:b w:val="false"/>
                <w:bCs w:val="false"/>
                <w:color w:val="222222"/>
                <w:sz w:val="20"/>
                <w:szCs w:val="20"/>
              </w:rPr>
              <w:t xml:space="preserve">Senjata dan pertahanan kontroversial</w:t>
            </w:r>
          </w:p>
        </w:tc>
        <w:tc>
          <w:tcPr>
            <w:tcW w:type="dxa" w:w="4513"/>
            <w:tcBorders>
              <w:top w:val="single" w:color="AED6F1" w:sz="4"/>
              <w:left w:val="single" w:color="AED6F1" w:sz="4"/>
              <w:bottom w:val="single" w:color="AED6F1" w:sz="4"/>
              <w:right w:val="single" w:color="AED6F1" w:sz="4"/>
            </w:tcBorders>
            <w:shd w:fill="FDEDEC" w:val="clear"/>
            <w:tcMar>
              <w:top w:type="dxa" w:w="80"/>
              <w:left w:type="dxa" w:w="140"/>
              <w:bottom w:type="dxa" w:w="80"/>
              <w:right w:type="dxa" w:w="140"/>
            </w:tcMar>
          </w:tcPr>
          <w:p>
            <w:r>
              <w:rPr>
                <w:b w:val="false"/>
                <w:bCs w:val="false"/>
                <w:color w:val="222222"/>
                <w:sz w:val="20"/>
                <w:szCs w:val="20"/>
              </w:rPr>
              <w:t xml:space="preserve">Produsen senjata untuk pihak terlarang</w:t>
            </w:r>
          </w:p>
        </w:tc>
      </w:tr>
    </w:tbl>
    <w:p>
      <w:pPr>
        <w:spacing w:before="160"/>
      </w:pPr>
    </w:p>
    <w:p>
      <w:pPr>
        <w:pStyle w:val="Heading3"/>
        <w:spacing w:after="80" w:before="240"/>
      </w:pPr>
      <w:r>
        <w:rPr>
          <w:b/>
          <w:bCs/>
          <w:color w:val="2980B9"/>
          <w:sz w:val="24"/>
          <w:szCs w:val="24"/>
        </w:rPr>
        <w:t xml:space="preserve">Lapis 2 — Kriteria Kuantitatif: Rasio Keuangan Syariah</w:t>
      </w:r>
    </w:p>
    <w:p>
      <w:pPr>
        <w:spacing w:after="120" w:before="60"/>
      </w:pPr>
      <w:r>
        <w:rPr>
          <w:sz w:val="22"/>
          <w:szCs w:val="22"/>
        </w:rPr>
        <w:t xml:space="preserve">Bahkan jika bisnis perusahaan halal, struktur keuangannya juga harus memenuhi ambang batas tertentu. Di sinilah banyak investor pemula tidak menyadari adanya filter tambahan:</w:t>
      </w:r>
    </w:p>
    <w:p>
      <w:pPr>
        <w:pBdr>
          <w:top w:val="single" w:color="2980B9" w:sz="6"/>
          <w:left w:val="single" w:color="2980B9" w:sz="24"/>
          <w:bottom w:val="single" w:color="2980B9" w:sz="6"/>
          <w:right w:val="single" w:color="2980B9" w:sz="6"/>
        </w:pBdr>
        <w:shd w:fill="D6EAF8" w:val="clear"/>
        <w:spacing w:after="0" w:before="80"/>
        <w:ind w:left="360"/>
      </w:pPr>
      <w:r>
        <w:rPr>
          <w:rFonts w:ascii="Courier New" w:cs="Courier New" w:eastAsia="Courier New" w:hAnsi="Courier New"/>
          <w:b/>
          <w:bCs/>
          <w:color w:val="1B4F72"/>
          <w:sz w:val="21"/>
          <w:szCs w:val="21"/>
        </w:rPr>
        <w:t xml:space="preserve">Filter DJIMI (standar global):</w:t>
      </w:r>
    </w:p>
    <w:p>
      <w:pPr>
        <w:pBdr>
          <w:top w:val="single" w:color="2980B9" w:sz="6"/>
          <w:left w:val="single" w:color="2980B9" w:sz="24"/>
          <w:bottom w:val="single" w:color="2980B9" w:sz="6"/>
          <w:right w:val="single" w:color="2980B9" w:sz="6"/>
        </w:pBdr>
        <w:shd w:fill="D6EAF8" w:val="clear"/>
        <w:spacing w:after="0" w:before="0"/>
        <w:ind w:left="360"/>
      </w:pPr>
      <w:r>
        <w:rPr>
          <w:rFonts w:ascii="Courier New" w:cs="Courier New" w:eastAsia="Courier New" w:hAnsi="Courier New"/>
          <w:b/>
          <w:bCs/>
          <w:color w:val="1B4F72"/>
          <w:sz w:val="21"/>
          <w:szCs w:val="21"/>
        </w:rPr>
        <w:t xml:space="preserve"/>
      </w:r>
    </w:p>
    <w:p>
      <w:pPr>
        <w:pBdr>
          <w:top w:val="single" w:color="2980B9" w:sz="6"/>
          <w:left w:val="single" w:color="2980B9" w:sz="24"/>
          <w:bottom w:val="single" w:color="2980B9" w:sz="6"/>
          <w:right w:val="single" w:color="2980B9" w:sz="6"/>
        </w:pBdr>
        <w:shd w:fill="D6EAF8" w:val="clear"/>
        <w:spacing w:after="0" w:before="0"/>
        <w:ind w:left="360"/>
      </w:pPr>
      <w:r>
        <w:rPr>
          <w:rFonts w:ascii="Courier New" w:cs="Courier New" w:eastAsia="Courier New" w:hAnsi="Courier New"/>
          <w:b/>
          <w:bCs/>
          <w:color w:val="1B4F72"/>
          <w:sz w:val="21"/>
          <w:szCs w:val="21"/>
        </w:rPr>
        <w:t xml:space="preserve">1. Rasio Hutang    = Total Hutang / Market Cap  &lt;  33%</w:t>
      </w:r>
    </w:p>
    <w:p>
      <w:pPr>
        <w:pBdr>
          <w:top w:val="single" w:color="2980B9" w:sz="6"/>
          <w:left w:val="single" w:color="2980B9" w:sz="24"/>
          <w:bottom w:val="single" w:color="2980B9" w:sz="6"/>
          <w:right w:val="single" w:color="2980B9" w:sz="6"/>
        </w:pBdr>
        <w:shd w:fill="D6EAF8" w:val="clear"/>
        <w:spacing w:after="0" w:before="0"/>
        <w:ind w:left="360"/>
      </w:pPr>
      <w:r>
        <w:rPr>
          <w:rFonts w:ascii="Courier New" w:cs="Courier New" w:eastAsia="Courier New" w:hAnsi="Courier New"/>
          <w:b/>
          <w:bCs/>
          <w:color w:val="1B4F72"/>
          <w:sz w:val="21"/>
          <w:szCs w:val="21"/>
        </w:rPr>
        <w:t xml:space="preserve">2. Rasio Piutang   = (Piutang + Kas) / Market Cap  &lt;  45%</w:t>
      </w:r>
    </w:p>
    <w:p>
      <w:pPr>
        <w:pBdr>
          <w:top w:val="single" w:color="2980B9" w:sz="6"/>
          <w:left w:val="single" w:color="2980B9" w:sz="24"/>
          <w:bottom w:val="single" w:color="2980B9" w:sz="6"/>
          <w:right w:val="single" w:color="2980B9" w:sz="6"/>
        </w:pBdr>
        <w:shd w:fill="D6EAF8" w:val="clear"/>
        <w:spacing w:after="80" w:before="0"/>
        <w:ind w:left="360"/>
      </w:pPr>
      <w:r>
        <w:rPr>
          <w:rFonts w:ascii="Courier New" w:cs="Courier New" w:eastAsia="Courier New" w:hAnsi="Courier New"/>
          <w:b/>
          <w:bCs/>
          <w:color w:val="1B4F72"/>
          <w:sz w:val="21"/>
          <w:szCs w:val="21"/>
        </w:rPr>
        <w:t xml:space="preserve">3. Pendapatan Haram = Pendapatan Non-Halal / Total Revenue  &lt;  5%</w:t>
      </w:r>
    </w:p>
    <w:p>
      <w:pPr>
        <w:spacing w:before="80"/>
      </w:pPr>
    </w:p>
    <w:p>
      <w:pPr>
        <w:spacing w:after="120" w:before="60"/>
      </w:pPr>
      <w:r>
        <w:rPr>
          <w:sz w:val="22"/>
          <w:szCs w:val="22"/>
        </w:rPr>
        <w:t xml:space="preserve">Filter OJK/DSN-MUI untuk ISSI menggunakan ambang batas yang sedikit berbeda namun berprinsip sama: total utang berbasis bunga tidak boleh melebihi 45% dari total aset perusahaan, dan pendapatan non-halal harus di bawah 10% dari total pendapatan.</w:t>
      </w:r>
    </w:p>
    <w:p>
      <w:pPr>
        <w:pBdr>
          <w:left w:val="single" w:color="C0392B" w:sz="20"/>
        </w:pBdr>
        <w:shd w:fill="FDEDEC" w:val="clear"/>
        <w:spacing w:after="120" w:before="120"/>
        <w:ind w:left="360"/>
      </w:pPr>
      <w:r>
        <w:rPr>
          <w:b/>
          <w:bCs/>
          <w:color w:val="C0392B"/>
          <w:sz w:val="22"/>
          <w:szCs w:val="22"/>
        </w:rPr>
        <w:t xml:space="preserve">Inilah kenapa saham bank tidak masuk daftar syariah: </w:t>
      </w:r>
      <w:r>
        <w:rPr>
          <w:color w:val="333333"/>
          <w:sz w:val="22"/>
          <w:szCs w:val="22"/>
        </w:rPr>
        <w:t xml:space="preserve">BBCA, BRI, BNI, Mandiri — semua bank konvensional otomatis gugur di filter pertama (bisnis berbasis bunga/riba), bukan karena rasio keuangan mereka buruk.</w:t>
      </w:r>
    </w:p>
    <w:p>
      <w:pPr>
        <w:pBdr>
          <w:bottom w:val="single" w:color="AED6F1" w:sz="4" w:space="1"/>
        </w:pBdr>
        <w:spacing w:after="160" w:before="160"/>
      </w:pPr>
    </w:p>
    <w:p>
      <w:pPr>
        <w:pStyle w:val="Heading2"/>
        <w:spacing w:after="140" w:before="340"/>
      </w:pPr>
      <w:r>
        <w:rPr>
          <w:b/>
          <w:bCs/>
          <w:color w:val="1B4F72"/>
          <w:sz w:val="28"/>
          <w:szCs w:val="28"/>
        </w:rPr>
        <w:t xml:space="preserve">JII vs JII70 vs ISSI: Mana yang Jadi Acuan?</w:t>
      </w:r>
    </w:p>
    <w:p>
      <w:pPr>
        <w:spacing w:after="120" w:before="60"/>
      </w:pPr>
      <w:r>
        <w:rPr>
          <w:sz w:val="22"/>
          <w:szCs w:val="22"/>
        </w:rPr>
        <w:t xml:space="preserve">Pertanyaan ini sering muncul di kalangan investor syariah pemula. Jawabannya tergantung tujuan investasimu:</w:t>
      </w:r>
    </w:p>
    <w:p>
      <w:pPr>
        <w:spacing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613"/>
        <w:gridCol w:w="2613"/>
      </w:tblGrid>
      <w:tr>
        <w:trPr>
          <w:tblHeader/>
        </w:trPr>
        <w:tc>
          <w:tcPr>
            <w:tcW w:type="dxa" w:w="1800"/>
            <w:tcBorders>
              <w:top w:val="single" w:color="AED6F1" w:sz="4"/>
              <w:left w:val="single" w:color="AED6F1" w:sz="4"/>
              <w:bottom w:val="single" w:color="AED6F1" w:sz="4"/>
              <w:right w:val="single" w:color="AED6F1" w:sz="4"/>
            </w:tcBorders>
            <w:shd w:fill="1B4F72" w:val="clear"/>
            <w:tcMar>
              <w:top w:type="dxa" w:w="80"/>
              <w:left w:type="dxa" w:w="140"/>
              <w:bottom w:type="dxa" w:w="80"/>
              <w:right w:type="dxa" w:w="140"/>
            </w:tcMar>
          </w:tcPr>
          <w:p>
            <w:r>
              <w:rPr>
                <w:b/>
                <w:bCs/>
                <w:color w:val="FFFFFF"/>
                <w:sz w:val="20"/>
                <w:szCs w:val="20"/>
              </w:rPr>
              <w:t xml:space="preserve">Indeks</w:t>
            </w:r>
          </w:p>
        </w:tc>
        <w:tc>
          <w:tcPr>
            <w:tcW w:type="dxa" w:w="2000"/>
            <w:tcBorders>
              <w:top w:val="single" w:color="AED6F1" w:sz="4"/>
              <w:left w:val="single" w:color="AED6F1" w:sz="4"/>
              <w:bottom w:val="single" w:color="AED6F1" w:sz="4"/>
              <w:right w:val="single" w:color="AED6F1" w:sz="4"/>
            </w:tcBorders>
            <w:shd w:fill="1B4F72" w:val="clear"/>
            <w:tcMar>
              <w:top w:type="dxa" w:w="80"/>
              <w:left w:type="dxa" w:w="140"/>
              <w:bottom w:type="dxa" w:w="80"/>
              <w:right w:type="dxa" w:w="140"/>
            </w:tcMar>
          </w:tcPr>
          <w:p>
            <w:r>
              <w:rPr>
                <w:b/>
                <w:bCs/>
                <w:color w:val="FFFFFF"/>
                <w:sz w:val="20"/>
                <w:szCs w:val="20"/>
              </w:rPr>
              <w:t xml:space="preserve">Jumlah Saham</w:t>
            </w:r>
          </w:p>
        </w:tc>
        <w:tc>
          <w:tcPr>
            <w:tcW w:type="dxa" w:w="2613"/>
            <w:tcBorders>
              <w:top w:val="single" w:color="AED6F1" w:sz="4"/>
              <w:left w:val="single" w:color="AED6F1" w:sz="4"/>
              <w:bottom w:val="single" w:color="AED6F1" w:sz="4"/>
              <w:right w:val="single" w:color="AED6F1" w:sz="4"/>
            </w:tcBorders>
            <w:shd w:fill="1B4F72" w:val="clear"/>
            <w:tcMar>
              <w:top w:type="dxa" w:w="80"/>
              <w:left w:type="dxa" w:w="140"/>
              <w:bottom w:type="dxa" w:w="80"/>
              <w:right w:type="dxa" w:w="140"/>
            </w:tcMar>
          </w:tcPr>
          <w:p>
            <w:r>
              <w:rPr>
                <w:b/>
                <w:bCs/>
                <w:color w:val="FFFFFF"/>
                <w:sz w:val="20"/>
                <w:szCs w:val="20"/>
              </w:rPr>
              <w:t xml:space="preserve">Cocok Untuk</w:t>
            </w:r>
          </w:p>
        </w:tc>
        <w:tc>
          <w:tcPr>
            <w:tcW w:type="dxa" w:w="2613"/>
            <w:tcBorders>
              <w:top w:val="single" w:color="AED6F1" w:sz="4"/>
              <w:left w:val="single" w:color="AED6F1" w:sz="4"/>
              <w:bottom w:val="single" w:color="AED6F1" w:sz="4"/>
              <w:right w:val="single" w:color="AED6F1" w:sz="4"/>
            </w:tcBorders>
            <w:shd w:fill="1B4F72" w:val="clear"/>
            <w:tcMar>
              <w:top w:type="dxa" w:w="80"/>
              <w:left w:type="dxa" w:w="140"/>
              <w:bottom w:type="dxa" w:w="80"/>
              <w:right w:type="dxa" w:w="140"/>
            </w:tcMar>
          </w:tcPr>
          <w:p>
            <w:r>
              <w:rPr>
                <w:b/>
                <w:bCs/>
                <w:color w:val="FFFFFF"/>
                <w:sz w:val="20"/>
                <w:szCs w:val="20"/>
              </w:rPr>
              <w:t xml:space="preserve">Keterbatasan</w:t>
            </w:r>
          </w:p>
        </w:tc>
      </w:tr>
      <w:tr>
        <w:tc>
          <w:tcPr>
            <w:tcW w:type="dxa" w:w="1800"/>
            <w:tcBorders>
              <w:top w:val="single" w:color="AED6F1" w:sz="4"/>
              <w:left w:val="single" w:color="AED6F1" w:sz="4"/>
              <w:bottom w:val="single" w:color="AED6F1" w:sz="4"/>
              <w:right w:val="single" w:color="AED6F1" w:sz="4"/>
            </w:tcBorders>
            <w:shd w:fill="D5F5E3" w:val="clear"/>
            <w:tcMar>
              <w:top w:type="dxa" w:w="80"/>
              <w:left w:type="dxa" w:w="140"/>
              <w:bottom w:type="dxa" w:w="80"/>
              <w:right w:type="dxa" w:w="140"/>
            </w:tcMar>
          </w:tcPr>
          <w:p>
            <w:r>
              <w:rPr>
                <w:b/>
                <w:bCs/>
                <w:color w:val="145A32"/>
                <w:sz w:val="20"/>
                <w:szCs w:val="20"/>
              </w:rPr>
              <w:t xml:space="preserve">JII (JII30)</w:t>
            </w:r>
          </w:p>
        </w:tc>
        <w:tc>
          <w:tcPr>
            <w:tcW w:type="dxa" w:w="2000"/>
            <w:tcBorders>
              <w:top w:val="single" w:color="AED6F1" w:sz="4"/>
              <w:left w:val="single" w:color="AED6F1" w:sz="4"/>
              <w:bottom w:val="single" w:color="AED6F1" w:sz="4"/>
              <w:right w:val="single" w:color="AED6F1" w:sz="4"/>
            </w:tcBorders>
            <w:shd w:fill="D5F5E3" w:val="clear"/>
            <w:tcMar>
              <w:top w:type="dxa" w:w="80"/>
              <w:left w:type="dxa" w:w="140"/>
              <w:bottom w:type="dxa" w:w="80"/>
              <w:right w:type="dxa" w:w="140"/>
            </w:tcMar>
          </w:tcPr>
          <w:p>
            <w:r>
              <w:rPr>
                <w:b w:val="false"/>
                <w:bCs w:val="false"/>
                <w:color w:val="222222"/>
                <w:sz w:val="20"/>
                <w:szCs w:val="20"/>
              </w:rPr>
              <w:t xml:space="preserve">30 saham</w:t>
            </w:r>
          </w:p>
        </w:tc>
        <w:tc>
          <w:tcPr>
            <w:tcW w:type="dxa" w:w="2613"/>
            <w:tcBorders>
              <w:top w:val="single" w:color="AED6F1" w:sz="4"/>
              <w:left w:val="single" w:color="AED6F1" w:sz="4"/>
              <w:bottom w:val="single" w:color="AED6F1" w:sz="4"/>
              <w:right w:val="single" w:color="AED6F1" w:sz="4"/>
            </w:tcBorders>
            <w:shd w:fill="D5F5E3" w:val="clear"/>
            <w:tcMar>
              <w:top w:type="dxa" w:w="80"/>
              <w:left w:type="dxa" w:w="140"/>
              <w:bottom w:type="dxa" w:w="80"/>
              <w:right w:type="dxa" w:w="140"/>
            </w:tcMar>
          </w:tcPr>
          <w:p>
            <w:r>
              <w:rPr>
                <w:b w:val="false"/>
                <w:bCs w:val="false"/>
                <w:color w:val="222222"/>
                <w:sz w:val="20"/>
                <w:szCs w:val="20"/>
              </w:rPr>
              <w:t xml:space="preserve">Dana besar, institusi, yang butuh likuiditas sangat tinggi</w:t>
            </w:r>
          </w:p>
        </w:tc>
        <w:tc>
          <w:tcPr>
            <w:tcW w:type="dxa" w:w="2613"/>
            <w:tcBorders>
              <w:top w:val="single" w:color="AED6F1" w:sz="4"/>
              <w:left w:val="single" w:color="AED6F1" w:sz="4"/>
              <w:bottom w:val="single" w:color="AED6F1" w:sz="4"/>
              <w:right w:val="single" w:color="AED6F1" w:sz="4"/>
            </w:tcBorders>
            <w:shd w:fill="D5F5E3" w:val="clear"/>
            <w:tcMar>
              <w:top w:type="dxa" w:w="80"/>
              <w:left w:type="dxa" w:w="140"/>
              <w:bottom w:type="dxa" w:w="80"/>
              <w:right w:type="dxa" w:w="140"/>
            </w:tcMar>
          </w:tcPr>
          <w:p>
            <w:r>
              <w:rPr>
                <w:b w:val="false"/>
                <w:bCs w:val="false"/>
                <w:color w:val="222222"/>
                <w:sz w:val="20"/>
                <w:szCs w:val="20"/>
              </w:rPr>
              <w:t xml:space="preserve">Terlalu sedikit pilihan, terlalu terpusat di saham besar</w:t>
            </w:r>
          </w:p>
        </w:tc>
      </w:tr>
      <w:tr>
        <w:tc>
          <w:tcPr>
            <w:tcW w:type="dxa" w:w="1800"/>
            <w:tcBorders>
              <w:top w:val="single" w:color="AED6F1" w:sz="4"/>
              <w:left w:val="single" w:color="AED6F1" w:sz="4"/>
              <w:bottom w:val="single" w:color="AED6F1" w:sz="4"/>
              <w:right w:val="single" w:color="AED6F1" w:sz="4"/>
            </w:tcBorders>
            <w:shd w:fill="EAFAF1" w:val="clear"/>
            <w:tcMar>
              <w:top w:type="dxa" w:w="80"/>
              <w:left w:type="dxa" w:w="140"/>
              <w:bottom w:type="dxa" w:w="80"/>
              <w:right w:type="dxa" w:w="140"/>
            </w:tcMar>
          </w:tcPr>
          <w:p>
            <w:r>
              <w:rPr>
                <w:b/>
                <w:bCs/>
                <w:color w:val="1E8449"/>
                <w:sz w:val="20"/>
                <w:szCs w:val="20"/>
              </w:rPr>
              <w:t xml:space="preserve">JII70</w:t>
            </w:r>
          </w:p>
        </w:tc>
        <w:tc>
          <w:tcPr>
            <w:tcW w:type="dxa" w:w="2000"/>
            <w:tcBorders>
              <w:top w:val="single" w:color="AED6F1" w:sz="4"/>
              <w:left w:val="single" w:color="AED6F1" w:sz="4"/>
              <w:bottom w:val="single" w:color="AED6F1" w:sz="4"/>
              <w:right w:val="single" w:color="AED6F1" w:sz="4"/>
            </w:tcBorders>
            <w:shd w:fill="EAFAF1" w:val="clear"/>
            <w:tcMar>
              <w:top w:type="dxa" w:w="80"/>
              <w:left w:type="dxa" w:w="140"/>
              <w:bottom w:type="dxa" w:w="80"/>
              <w:right w:type="dxa" w:w="140"/>
            </w:tcMar>
          </w:tcPr>
          <w:p>
            <w:r>
              <w:rPr>
                <w:b w:val="false"/>
                <w:bCs w:val="false"/>
                <w:color w:val="222222"/>
                <w:sz w:val="20"/>
                <w:szCs w:val="20"/>
              </w:rPr>
              <w:t xml:space="preserve">70 saham</w:t>
            </w:r>
          </w:p>
        </w:tc>
        <w:tc>
          <w:tcPr>
            <w:tcW w:type="dxa" w:w="2613"/>
            <w:tcBorders>
              <w:top w:val="single" w:color="AED6F1" w:sz="4"/>
              <w:left w:val="single" w:color="AED6F1" w:sz="4"/>
              <w:bottom w:val="single" w:color="AED6F1" w:sz="4"/>
              <w:right w:val="single" w:color="AED6F1" w:sz="4"/>
            </w:tcBorders>
            <w:shd w:fill="EAFAF1" w:val="clear"/>
            <w:tcMar>
              <w:top w:type="dxa" w:w="80"/>
              <w:left w:type="dxa" w:w="140"/>
              <w:bottom w:type="dxa" w:w="80"/>
              <w:right w:type="dxa" w:w="140"/>
            </w:tcMar>
          </w:tcPr>
          <w:p>
            <w:r>
              <w:rPr>
                <w:b w:val="false"/>
                <w:bCs w:val="false"/>
                <w:color w:val="222222"/>
                <w:sz w:val="20"/>
                <w:szCs w:val="20"/>
              </w:rPr>
              <w:t xml:space="preserve">Investor ritel aktif yang butuh likuiditas wajar + pilihan lebih beragam</w:t>
            </w:r>
          </w:p>
        </w:tc>
        <w:tc>
          <w:tcPr>
            <w:tcW w:type="dxa" w:w="2613"/>
            <w:tcBorders>
              <w:top w:val="single" w:color="AED6F1" w:sz="4"/>
              <w:left w:val="single" w:color="AED6F1" w:sz="4"/>
              <w:bottom w:val="single" w:color="AED6F1" w:sz="4"/>
              <w:right w:val="single" w:color="AED6F1" w:sz="4"/>
            </w:tcBorders>
            <w:shd w:fill="EAFAF1" w:val="clear"/>
            <w:tcMar>
              <w:top w:type="dxa" w:w="80"/>
              <w:left w:type="dxa" w:w="140"/>
              <w:bottom w:type="dxa" w:w="80"/>
              <w:right w:type="dxa" w:w="140"/>
            </w:tcMar>
          </w:tcPr>
          <w:p>
            <w:r>
              <w:rPr>
                <w:b w:val="false"/>
                <w:bCs w:val="false"/>
                <w:color w:val="222222"/>
                <w:sz w:val="20"/>
                <w:szCs w:val="20"/>
              </w:rPr>
              <w:t xml:space="preserve">Masih terbatas pada saham besar-menengah saja</w:t>
            </w:r>
          </w:p>
        </w:tc>
      </w:tr>
      <w:tr>
        <w:tc>
          <w:tcPr>
            <w:tcW w:type="dxa" w:w="1800"/>
            <w:tcBorders>
              <w:top w:val="single" w:color="AED6F1" w:sz="4"/>
              <w:left w:val="single" w:color="AED6F1" w:sz="4"/>
              <w:bottom w:val="single" w:color="AED6F1" w:sz="4"/>
              <w:right w:val="single" w:color="AED6F1" w:sz="4"/>
            </w:tcBorders>
            <w:shd w:fill="D1F2EB" w:val="clear"/>
            <w:tcMar>
              <w:top w:type="dxa" w:w="80"/>
              <w:left w:type="dxa" w:w="140"/>
              <w:bottom w:type="dxa" w:w="80"/>
              <w:right w:type="dxa" w:w="140"/>
            </w:tcMar>
          </w:tcPr>
          <w:p>
            <w:r>
              <w:rPr>
                <w:b/>
                <w:bCs/>
                <w:color w:val="117A65"/>
                <w:sz w:val="20"/>
                <w:szCs w:val="20"/>
              </w:rPr>
              <w:t xml:space="preserve">ISSI</w:t>
            </w:r>
          </w:p>
        </w:tc>
        <w:tc>
          <w:tcPr>
            <w:tcW w:type="dxa" w:w="2000"/>
            <w:tcBorders>
              <w:top w:val="single" w:color="AED6F1" w:sz="4"/>
              <w:left w:val="single" w:color="AED6F1" w:sz="4"/>
              <w:bottom w:val="single" w:color="AED6F1" w:sz="4"/>
              <w:right w:val="single" w:color="AED6F1" w:sz="4"/>
            </w:tcBorders>
            <w:shd w:fill="D1F2EB" w:val="clear"/>
            <w:tcMar>
              <w:top w:type="dxa" w:w="80"/>
              <w:left w:type="dxa" w:w="140"/>
              <w:bottom w:type="dxa" w:w="80"/>
              <w:right w:type="dxa" w:w="140"/>
            </w:tcMar>
          </w:tcPr>
          <w:p>
            <w:r>
              <w:rPr>
                <w:b w:val="false"/>
                <w:bCs w:val="false"/>
                <w:color w:val="222222"/>
                <w:sz w:val="20"/>
                <w:szCs w:val="20"/>
              </w:rPr>
              <w:t xml:space="preserve">~400–500 saham</w:t>
            </w:r>
          </w:p>
        </w:tc>
        <w:tc>
          <w:tcPr>
            <w:tcW w:type="dxa" w:w="2613"/>
            <w:tcBorders>
              <w:top w:val="single" w:color="AED6F1" w:sz="4"/>
              <w:left w:val="single" w:color="AED6F1" w:sz="4"/>
              <w:bottom w:val="single" w:color="AED6F1" w:sz="4"/>
              <w:right w:val="single" w:color="AED6F1" w:sz="4"/>
            </w:tcBorders>
            <w:shd w:fill="D1F2EB" w:val="clear"/>
            <w:tcMar>
              <w:top w:type="dxa" w:w="80"/>
              <w:left w:type="dxa" w:w="140"/>
              <w:bottom w:type="dxa" w:w="80"/>
              <w:right w:type="dxa" w:w="140"/>
            </w:tcMar>
          </w:tcPr>
          <w:p>
            <w:r>
              <w:rPr>
                <w:b w:val="false"/>
                <w:bCs w:val="false"/>
                <w:color w:val="222222"/>
                <w:sz w:val="20"/>
                <w:szCs w:val="20"/>
              </w:rPr>
              <w:t xml:space="preserve">Investor yang ingin eksplorasi saham syariah lebih luas termasuk small cap</w:t>
            </w:r>
          </w:p>
        </w:tc>
        <w:tc>
          <w:tcPr>
            <w:tcW w:type="dxa" w:w="2613"/>
            <w:tcBorders>
              <w:top w:val="single" w:color="AED6F1" w:sz="4"/>
              <w:left w:val="single" w:color="AED6F1" w:sz="4"/>
              <w:bottom w:val="single" w:color="AED6F1" w:sz="4"/>
              <w:right w:val="single" w:color="AED6F1" w:sz="4"/>
            </w:tcBorders>
            <w:shd w:fill="D1F2EB" w:val="clear"/>
            <w:tcMar>
              <w:top w:type="dxa" w:w="80"/>
              <w:left w:type="dxa" w:w="140"/>
              <w:bottom w:type="dxa" w:w="80"/>
              <w:right w:type="dxa" w:w="140"/>
            </w:tcMar>
          </w:tcPr>
          <w:p>
            <w:r>
              <w:rPr>
                <w:b w:val="false"/>
                <w:bCs w:val="false"/>
                <w:color w:val="222222"/>
                <w:sz w:val="20"/>
                <w:szCs w:val="20"/>
              </w:rPr>
              <w:t xml:space="preserve">Banyak saham tidak likuid, butuh filter tambahan yang ketat</w:t>
            </w:r>
          </w:p>
        </w:tc>
      </w:tr>
      <w:tr>
        <w:tc>
          <w:tcPr>
            <w:tcW w:type="dxa" w:w="1800"/>
            <w:tcBorders>
              <w:top w:val="single" w:color="AED6F1" w:sz="4"/>
              <w:left w:val="single" w:color="AED6F1" w:sz="4"/>
              <w:bottom w:val="single" w:color="AED6F1" w:sz="4"/>
              <w:right w:val="single" w:color="AED6F1" w:sz="4"/>
            </w:tcBorders>
            <w:shd w:fill="D6EAF8" w:val="clear"/>
            <w:tcMar>
              <w:top w:type="dxa" w:w="80"/>
              <w:left w:type="dxa" w:w="140"/>
              <w:bottom w:type="dxa" w:w="80"/>
              <w:right w:type="dxa" w:w="140"/>
            </w:tcMar>
          </w:tcPr>
          <w:p>
            <w:r>
              <w:rPr>
                <w:b/>
                <w:bCs/>
                <w:color w:val="1B4F72"/>
                <w:sz w:val="20"/>
                <w:szCs w:val="20"/>
              </w:rPr>
              <w:t xml:space="preserve">DJIMI</w:t>
            </w:r>
          </w:p>
        </w:tc>
        <w:tc>
          <w:tcPr>
            <w:tcW w:type="dxa" w:w="2000"/>
            <w:tcBorders>
              <w:top w:val="single" w:color="AED6F1" w:sz="4"/>
              <w:left w:val="single" w:color="AED6F1" w:sz="4"/>
              <w:bottom w:val="single" w:color="AED6F1" w:sz="4"/>
              <w:right w:val="single" w:color="AED6F1" w:sz="4"/>
            </w:tcBorders>
            <w:shd w:fill="D6EAF8" w:val="clear"/>
            <w:tcMar>
              <w:top w:type="dxa" w:w="80"/>
              <w:left w:type="dxa" w:w="140"/>
              <w:bottom w:type="dxa" w:w="80"/>
              <w:right w:type="dxa" w:w="140"/>
            </w:tcMar>
          </w:tcPr>
          <w:p>
            <w:r>
              <w:rPr>
                <w:b w:val="false"/>
                <w:bCs w:val="false"/>
                <w:color w:val="222222"/>
                <w:sz w:val="20"/>
                <w:szCs w:val="20"/>
              </w:rPr>
              <w:t xml:space="preserve">Global</w:t>
            </w:r>
          </w:p>
        </w:tc>
        <w:tc>
          <w:tcPr>
            <w:tcW w:type="dxa" w:w="2613"/>
            <w:tcBorders>
              <w:top w:val="single" w:color="AED6F1" w:sz="4"/>
              <w:left w:val="single" w:color="AED6F1" w:sz="4"/>
              <w:bottom w:val="single" w:color="AED6F1" w:sz="4"/>
              <w:right w:val="single" w:color="AED6F1" w:sz="4"/>
            </w:tcBorders>
            <w:shd w:fill="D6EAF8" w:val="clear"/>
            <w:tcMar>
              <w:top w:type="dxa" w:w="80"/>
              <w:left w:type="dxa" w:w="140"/>
              <w:bottom w:type="dxa" w:w="80"/>
              <w:right w:type="dxa" w:w="140"/>
            </w:tcMar>
          </w:tcPr>
          <w:p>
            <w:r>
              <w:rPr>
                <w:b w:val="false"/>
                <w:bCs w:val="false"/>
                <w:color w:val="222222"/>
                <w:sz w:val="20"/>
                <w:szCs w:val="20"/>
              </w:rPr>
              <w:t xml:space="preserve">Investor yang juga ingin akses ke saham syariah Wall Street (S&amp;P 500)</w:t>
            </w:r>
          </w:p>
        </w:tc>
        <w:tc>
          <w:tcPr>
            <w:tcW w:type="dxa" w:w="2613"/>
            <w:tcBorders>
              <w:top w:val="single" w:color="AED6F1" w:sz="4"/>
              <w:left w:val="single" w:color="AED6F1" w:sz="4"/>
              <w:bottom w:val="single" w:color="AED6F1" w:sz="4"/>
              <w:right w:val="single" w:color="AED6F1" w:sz="4"/>
            </w:tcBorders>
            <w:shd w:fill="D6EAF8" w:val="clear"/>
            <w:tcMar>
              <w:top w:type="dxa" w:w="80"/>
              <w:left w:type="dxa" w:w="140"/>
              <w:bottom w:type="dxa" w:w="80"/>
              <w:right w:type="dxa" w:w="140"/>
            </w:tcMar>
          </w:tcPr>
          <w:p>
            <w:r>
              <w:rPr>
                <w:b w:val="false"/>
                <w:bCs w:val="false"/>
                <w:color w:val="222222"/>
                <w:sz w:val="20"/>
                <w:szCs w:val="20"/>
              </w:rPr>
              <w:t xml:space="preserve">Kriteria berbeda dengan OJK, ada saham lolos DJIMI tapi tidak di ISSI</w:t>
            </w:r>
          </w:p>
        </w:tc>
      </w:tr>
    </w:tbl>
    <w:p>
      <w:pPr>
        <w:spacing w:before="160"/>
      </w:pPr>
    </w:p>
    <w:p>
      <w:pPr>
        <w:pBdr>
          <w:left w:val="single" w:color="1E8449" w:sz="20"/>
        </w:pBdr>
        <w:shd w:fill="EAFAF1" w:val="clear"/>
        <w:spacing w:after="120" w:before="120"/>
        <w:ind w:left="360"/>
      </w:pPr>
      <w:r>
        <w:rPr>
          <w:b/>
          <w:bCs/>
          <w:color w:val="1E8449"/>
          <w:sz w:val="22"/>
          <w:szCs w:val="22"/>
        </w:rPr>
        <w:t xml:space="preserve">Rekomendasi praktis: </w:t>
      </w:r>
      <w:r>
        <w:rPr>
          <w:color w:val="333333"/>
          <w:sz w:val="22"/>
          <w:szCs w:val="22"/>
        </w:rPr>
        <w:t xml:space="preserve">Gunakan JII70 sebagai universe awal untuk saham IDX — cukup luas (70 saham) tapi sudah terfilter likuiditas. Tambahkan DJIMI jika ingin akses ke saham syariah AS. ISSI untuk yang ingin eksplorasi lebih dalam dengan filter teknikal tambahan.</w:t>
      </w:r>
    </w:p>
    <w:p>
      <w:pPr>
        <w:pBdr>
          <w:bottom w:val="single" w:color="AED6F1" w:sz="4" w:space="1"/>
        </w:pBdr>
        <w:spacing w:after="160" w:before="160"/>
      </w:pPr>
    </w:p>
    <w:p>
      <w:pPr>
        <w:pStyle w:val="Heading2"/>
        <w:spacing w:after="140" w:before="340"/>
      </w:pPr>
      <w:r>
        <w:rPr>
          <w:b/>
          <w:bCs/>
          <w:color w:val="1B4F72"/>
          <w:sz w:val="28"/>
          <w:szCs w:val="28"/>
        </w:rPr>
        <w:t xml:space="preserve">Kenapa "Sekadar Ada di Daftar JII" Tidak Cukup</w:t>
      </w:r>
    </w:p>
    <w:p>
      <w:pPr>
        <w:spacing w:after="120" w:before="60"/>
      </w:pPr>
      <w:r>
        <w:rPr>
          <w:sz w:val="22"/>
          <w:szCs w:val="22"/>
        </w:rPr>
        <w:t xml:space="preserve">Ini adalah inti dari artikel ini. Daftar JII dan JII70 adalah syarat kehalalan — bukan rekomendasi beli. Ada beberapa masalah nyata yang terjadi kalau kamu hanya mengandalkan daftar:</w:t>
      </w:r>
    </w:p>
    <w:p>
      <w:pPr>
        <w:spacing w:before="80"/>
      </w:pPr>
    </w:p>
    <w:p>
      <w:pPr>
        <w:pStyle w:val="Heading3"/>
        <w:spacing w:after="80" w:before="240"/>
      </w:pPr>
      <w:r>
        <w:rPr>
          <w:b/>
          <w:bCs/>
          <w:color w:val="2980B9"/>
          <w:sz w:val="24"/>
          <w:szCs w:val="24"/>
        </w:rPr>
        <w:t xml:space="preserve">Masalah 1: Daftar Diperbarui Hanya 2× Setahun</w:t>
      </w:r>
    </w:p>
    <w:p>
      <w:pPr>
        <w:spacing w:after="120" w:before="60"/>
      </w:pPr>
      <w:r>
        <w:rPr>
          <w:sz w:val="22"/>
          <w:szCs w:val="22"/>
        </w:rPr>
        <w:t xml:space="preserve">Antara periode revisi (Mei dan November), kondisi saham bisa berubah drastis. Sebuah saham yang masuk JII70 pada November belum tentu kondisinya masih bagus di Februari — tapi secara formal masih tercatat sebagai saham syariah hingga revisi Mei berikutnya.</w:t>
      </w:r>
    </w:p>
    <w:p>
      <w:pPr>
        <w:pStyle w:val="Heading3"/>
        <w:spacing w:after="80" w:before="240"/>
      </w:pPr>
      <w:r>
        <w:rPr>
          <w:b/>
          <w:bCs/>
          <w:color w:val="2980B9"/>
          <w:sz w:val="24"/>
          <w:szCs w:val="24"/>
        </w:rPr>
        <w:t xml:space="preserve">Masalah 2: Masuk Daftar ≠ Kondisi Teknikal Bagus</w:t>
      </w:r>
    </w:p>
    <w:p>
      <w:pPr>
        <w:spacing w:after="120" w:before="60"/>
      </w:pPr>
      <w:r>
        <w:rPr>
          <w:sz w:val="22"/>
          <w:szCs w:val="22"/>
        </w:rPr>
        <w:t xml:space="preserve">JII70 berisi 70 saham syariah paling likuid — tapi likuid tidak berarti sedang dalam tren naik. Saham bisa masuk JII70 saat sedang dalam fase distribusi atau markdown. Tanpa analisis teknikal, kamu masuk di waktu yang salah meski sahamnya "halal".</w:t>
      </w:r>
    </w:p>
    <w:p>
      <w:pPr>
        <w:pStyle w:val="Heading3"/>
        <w:spacing w:after="80" w:before="240"/>
      </w:pPr>
      <w:r>
        <w:rPr>
          <w:b/>
          <w:bCs/>
          <w:color w:val="2980B9"/>
          <w:sz w:val="24"/>
          <w:szCs w:val="24"/>
        </w:rPr>
        <w:t xml:space="preserve">Masalah 3: Ada Saham Bagus yang Tidak Masuk JII70</w:t>
      </w:r>
    </w:p>
    <w:p>
      <w:pPr>
        <w:spacing w:after="120" w:before="60"/>
      </w:pPr>
      <w:r>
        <w:rPr>
          <w:sz w:val="22"/>
          <w:szCs w:val="22"/>
        </w:rPr>
        <w:t xml:space="preserve">Beberapa saham syariah berkualitas tidak masuk JII70 karena kapitalisasi atau volumenya belum memenuhi syarat — bukan karena tidak halal. Investor yang hanya pakai JII70 melewatkan peluang ini.</w:t>
      </w:r>
    </w:p>
    <w:p>
      <w:pPr>
        <w:pStyle w:val="Heading3"/>
        <w:spacing w:after="80" w:before="240"/>
      </w:pPr>
      <w:r>
        <w:rPr>
          <w:b/>
          <w:bCs/>
          <w:color w:val="2980B9"/>
          <w:sz w:val="24"/>
          <w:szCs w:val="24"/>
        </w:rPr>
        <w:t xml:space="preserve">Masalah 4: Valuasi dan Fundamental Tidak Dicek</w:t>
      </w:r>
    </w:p>
    <w:p>
      <w:pPr>
        <w:spacing w:after="120" w:before="60"/>
      </w:pPr>
      <w:r>
        <w:rPr>
          <w:sz w:val="22"/>
          <w:szCs w:val="22"/>
        </w:rPr>
        <w:t xml:space="preserve">Saham syariah terbaik bukan hanya yang ada di daftar — tapi yang ada di daftar DAN harganya wajar DAN fundamentalnya kuat DAN secara teknikal sedang dalam momentum yang tepat untuk dibeli.</w:t>
      </w:r>
    </w:p>
    <w:p>
      <w:pPr>
        <w:pBdr>
          <w:left w:val="single" w:color="666666" w:sz="20"/>
        </w:pBdr>
        <w:shd w:fill="F2F3F4" w:val="clear"/>
        <w:spacing w:after="120" w:before="120"/>
        <w:ind w:left="360"/>
      </w:pPr>
      <w:r>
        <w:rPr>
          <w:b/>
          <w:bCs/>
          <w:color w:val="666666"/>
          <w:sz w:val="22"/>
          <w:szCs w:val="22"/>
        </w:rPr>
        <w:t xml:space="preserve">[GAMBAR: Diagram alir: dari ISSI/JII70 → filter teknikal → filter fundamental → filter timing → daftar saham kandidat]</w:t>
      </w:r>
    </w:p>
    <w:p>
      <w:pPr>
        <w:pBdr>
          <w:bottom w:val="single" w:color="AED6F1" w:sz="4" w:space="1"/>
        </w:pBdr>
        <w:spacing w:after="160" w:before="160"/>
      </w:pPr>
    </w:p>
    <w:p>
      <w:pPr>
        <w:pStyle w:val="Heading2"/>
        <w:spacing w:after="140" w:before="340"/>
      </w:pPr>
      <w:r>
        <w:rPr>
          <w:b/>
          <w:bCs/>
          <w:color w:val="1B4F72"/>
          <w:sz w:val="28"/>
          <w:szCs w:val="28"/>
        </w:rPr>
        <w:t xml:space="preserve">Framework Lengkap: 4 Lapis Filter Memilih Saham Syariah Terbaik</w:t>
      </w:r>
    </w:p>
    <w:p>
      <w:pPr>
        <w:spacing w:after="120" w:before="60"/>
      </w:pPr>
      <w:r>
        <w:rPr>
          <w:sz w:val="22"/>
          <w:szCs w:val="22"/>
        </w:rPr>
        <w:t xml:space="preserve">Berikut kerangka kerja yang menggabungkan filter kehalalan dengan analisis investasi yang menyeluruh:</w:t>
      </w:r>
    </w:p>
    <w:p>
      <w:pPr>
        <w:spacing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426"/>
        <w:gridCol w:w="3000"/>
        <w:gridCol w:w="3000"/>
      </w:tblGrid>
      <w:tr>
        <w:trPr>
          <w:tblHeader/>
        </w:trPr>
        <w:tc>
          <w:tcPr>
            <w:tcW w:type="dxa" w:w="600"/>
            <w:tcBorders>
              <w:top w:val="single" w:color="AED6F1" w:sz="4"/>
              <w:left w:val="single" w:color="AED6F1" w:sz="4"/>
              <w:bottom w:val="single" w:color="AED6F1" w:sz="4"/>
              <w:right w:val="single" w:color="AED6F1" w:sz="4"/>
            </w:tcBorders>
            <w:shd w:fill="1B4F72" w:val="clear"/>
            <w:tcMar>
              <w:top w:type="dxa" w:w="80"/>
              <w:left w:type="dxa" w:w="140"/>
              <w:bottom w:type="dxa" w:w="80"/>
              <w:right w:type="dxa" w:w="140"/>
            </w:tcMar>
          </w:tcPr>
          <w:p>
            <w:r>
              <w:rPr>
                <w:b/>
                <w:bCs/>
                <w:color w:val="FFFFFF"/>
                <w:sz w:val="20"/>
                <w:szCs w:val="20"/>
              </w:rPr>
              <w:t xml:space="preserve">#</w:t>
            </w:r>
          </w:p>
        </w:tc>
        <w:tc>
          <w:tcPr>
            <w:tcW w:type="dxa" w:w="2426"/>
            <w:tcBorders>
              <w:top w:val="single" w:color="AED6F1" w:sz="4"/>
              <w:left w:val="single" w:color="AED6F1" w:sz="4"/>
              <w:bottom w:val="single" w:color="AED6F1" w:sz="4"/>
              <w:right w:val="single" w:color="AED6F1" w:sz="4"/>
            </w:tcBorders>
            <w:shd w:fill="1B4F72" w:val="clear"/>
            <w:tcMar>
              <w:top w:type="dxa" w:w="80"/>
              <w:left w:type="dxa" w:w="140"/>
              <w:bottom w:type="dxa" w:w="80"/>
              <w:right w:type="dxa" w:w="140"/>
            </w:tcMar>
          </w:tcPr>
          <w:p>
            <w:r>
              <w:rPr>
                <w:b/>
                <w:bCs/>
                <w:color w:val="FFFFFF"/>
                <w:sz w:val="20"/>
                <w:szCs w:val="20"/>
              </w:rPr>
              <w:t xml:space="preserve">Filter</w:t>
            </w:r>
          </w:p>
        </w:tc>
        <w:tc>
          <w:tcPr>
            <w:tcW w:type="dxa" w:w="3000"/>
            <w:tcBorders>
              <w:top w:val="single" w:color="AED6F1" w:sz="4"/>
              <w:left w:val="single" w:color="AED6F1" w:sz="4"/>
              <w:bottom w:val="single" w:color="AED6F1" w:sz="4"/>
              <w:right w:val="single" w:color="AED6F1" w:sz="4"/>
            </w:tcBorders>
            <w:shd w:fill="1B4F72" w:val="clear"/>
            <w:tcMar>
              <w:top w:type="dxa" w:w="80"/>
              <w:left w:type="dxa" w:w="140"/>
              <w:bottom w:type="dxa" w:w="80"/>
              <w:right w:type="dxa" w:w="140"/>
            </w:tcMar>
          </w:tcPr>
          <w:p>
            <w:r>
              <w:rPr>
                <w:b/>
                <w:bCs/>
                <w:color w:val="FFFFFF"/>
                <w:sz w:val="20"/>
                <w:szCs w:val="20"/>
              </w:rPr>
              <w:t xml:space="preserve">Cara Cek</w:t>
            </w:r>
          </w:p>
        </w:tc>
        <w:tc>
          <w:tcPr>
            <w:tcW w:type="dxa" w:w="3000"/>
            <w:tcBorders>
              <w:top w:val="single" w:color="AED6F1" w:sz="4"/>
              <w:left w:val="single" w:color="AED6F1" w:sz="4"/>
              <w:bottom w:val="single" w:color="AED6F1" w:sz="4"/>
              <w:right w:val="single" w:color="AED6F1" w:sz="4"/>
            </w:tcBorders>
            <w:shd w:fill="1B4F72" w:val="clear"/>
            <w:tcMar>
              <w:top w:type="dxa" w:w="80"/>
              <w:left w:type="dxa" w:w="140"/>
              <w:bottom w:type="dxa" w:w="80"/>
              <w:right w:type="dxa" w:w="140"/>
            </w:tcMar>
          </w:tcPr>
          <w:p>
            <w:r>
              <w:rPr>
                <w:b/>
                <w:bCs/>
                <w:color w:val="FFFFFF"/>
                <w:sz w:val="20"/>
                <w:szCs w:val="20"/>
              </w:rPr>
              <w:t xml:space="preserve">Tools</w:t>
            </w:r>
          </w:p>
        </w:tc>
      </w:tr>
      <w:tr>
        <w:tc>
          <w:tcPr>
            <w:tcW w:type="dxa" w:w="600"/>
            <w:tcBorders>
              <w:top w:val="single" w:color="AED6F1" w:sz="4"/>
              <w:left w:val="single" w:color="AED6F1" w:sz="4"/>
              <w:bottom w:val="single" w:color="AED6F1" w:sz="4"/>
              <w:right w:val="single" w:color="AED6F1" w:sz="4"/>
            </w:tcBorders>
            <w:shd w:fill="D5F5E3" w:val="clear"/>
            <w:tcMar>
              <w:top w:type="dxa" w:w="80"/>
              <w:left w:type="dxa" w:w="140"/>
              <w:bottom w:type="dxa" w:w="80"/>
              <w:right w:type="dxa" w:w="140"/>
            </w:tcMar>
          </w:tcPr>
          <w:p>
            <w:r>
              <w:rPr>
                <w:b/>
                <w:bCs/>
                <w:color w:val="222222"/>
                <w:sz w:val="20"/>
                <w:szCs w:val="20"/>
              </w:rPr>
              <w:t xml:space="preserve">1</w:t>
            </w:r>
          </w:p>
        </w:tc>
        <w:tc>
          <w:tcPr>
            <w:tcW w:type="dxa" w:w="2426"/>
            <w:tcBorders>
              <w:top w:val="single" w:color="AED6F1" w:sz="4"/>
              <w:left w:val="single" w:color="AED6F1" w:sz="4"/>
              <w:bottom w:val="single" w:color="AED6F1" w:sz="4"/>
              <w:right w:val="single" w:color="AED6F1" w:sz="4"/>
            </w:tcBorders>
            <w:shd w:fill="D5F5E3" w:val="clear"/>
            <w:tcMar>
              <w:top w:type="dxa" w:w="80"/>
              <w:left w:type="dxa" w:w="140"/>
              <w:bottom w:type="dxa" w:w="80"/>
              <w:right w:type="dxa" w:w="140"/>
            </w:tcMar>
          </w:tcPr>
          <w:p>
            <w:r>
              <w:rPr>
                <w:b/>
                <w:bCs/>
                <w:color w:val="145A32"/>
                <w:sz w:val="20"/>
                <w:szCs w:val="20"/>
              </w:rPr>
              <w:t xml:space="preserve">Kehalalan</w:t>
            </w:r>
          </w:p>
        </w:tc>
        <w:tc>
          <w:tcPr>
            <w:tcW w:type="dxa" w:w="3000"/>
            <w:tcBorders>
              <w:top w:val="single" w:color="AED6F1" w:sz="4"/>
              <w:left w:val="single" w:color="AED6F1" w:sz="4"/>
              <w:bottom w:val="single" w:color="AED6F1" w:sz="4"/>
              <w:right w:val="single" w:color="AED6F1" w:sz="4"/>
            </w:tcBorders>
            <w:shd w:fill="D5F5E3" w:val="clear"/>
            <w:tcMar>
              <w:top w:type="dxa" w:w="80"/>
              <w:left w:type="dxa" w:w="140"/>
              <w:bottom w:type="dxa" w:w="80"/>
              <w:right w:type="dxa" w:w="140"/>
            </w:tcMar>
          </w:tcPr>
          <w:p>
            <w:r>
              <w:rPr>
                <w:b w:val="false"/>
                <w:bCs w:val="false"/>
                <w:color w:val="222222"/>
                <w:sz w:val="20"/>
                <w:szCs w:val="20"/>
              </w:rPr>
              <w:t xml:space="preserve">Masuk ISSI/JII70 (OJK) atau lolos filter DJIMI untuk saham AS</w:t>
            </w:r>
          </w:p>
        </w:tc>
        <w:tc>
          <w:tcPr>
            <w:tcW w:type="dxa" w:w="3000"/>
            <w:tcBorders>
              <w:top w:val="single" w:color="AED6F1" w:sz="4"/>
              <w:left w:val="single" w:color="AED6F1" w:sz="4"/>
              <w:bottom w:val="single" w:color="AED6F1" w:sz="4"/>
              <w:right w:val="single" w:color="AED6F1" w:sz="4"/>
            </w:tcBorders>
            <w:shd w:fill="D5F5E3" w:val="clear"/>
            <w:tcMar>
              <w:top w:type="dxa" w:w="80"/>
              <w:left w:type="dxa" w:w="140"/>
              <w:bottom w:type="dxa" w:w="80"/>
              <w:right w:type="dxa" w:w="140"/>
            </w:tcMar>
          </w:tcPr>
          <w:p>
            <w:r>
              <w:rPr>
                <w:b w:val="false"/>
                <w:bCs w:val="false"/>
                <w:color w:val="222222"/>
                <w:sz w:val="20"/>
                <w:szCs w:val="20"/>
              </w:rPr>
              <w:t xml:space="preserve">DES OJK, screener syariah</w:t>
            </w:r>
          </w:p>
        </w:tc>
      </w:tr>
      <w:tr>
        <w:tc>
          <w:tcPr>
            <w:tcW w:type="dxa" w:w="600"/>
            <w:tcBorders>
              <w:top w:val="single" w:color="AED6F1" w:sz="4"/>
              <w:left w:val="single" w:color="AED6F1" w:sz="4"/>
              <w:bottom w:val="single" w:color="AED6F1" w:sz="4"/>
              <w:right w:val="single" w:color="AED6F1" w:sz="4"/>
            </w:tcBorders>
            <w:shd w:fill="EAFAF1" w:val="clear"/>
            <w:tcMar>
              <w:top w:type="dxa" w:w="80"/>
              <w:left w:type="dxa" w:w="140"/>
              <w:bottom w:type="dxa" w:w="80"/>
              <w:right w:type="dxa" w:w="140"/>
            </w:tcMar>
          </w:tcPr>
          <w:p>
            <w:r>
              <w:rPr>
                <w:b/>
                <w:bCs/>
                <w:color w:val="222222"/>
                <w:sz w:val="20"/>
                <w:szCs w:val="20"/>
              </w:rPr>
              <w:t xml:space="preserve">2</w:t>
            </w:r>
          </w:p>
        </w:tc>
        <w:tc>
          <w:tcPr>
            <w:tcW w:type="dxa" w:w="2426"/>
            <w:tcBorders>
              <w:top w:val="single" w:color="AED6F1" w:sz="4"/>
              <w:left w:val="single" w:color="AED6F1" w:sz="4"/>
              <w:bottom w:val="single" w:color="AED6F1" w:sz="4"/>
              <w:right w:val="single" w:color="AED6F1" w:sz="4"/>
            </w:tcBorders>
            <w:shd w:fill="EAFAF1" w:val="clear"/>
            <w:tcMar>
              <w:top w:type="dxa" w:w="80"/>
              <w:left w:type="dxa" w:w="140"/>
              <w:bottom w:type="dxa" w:w="80"/>
              <w:right w:type="dxa" w:w="140"/>
            </w:tcMar>
          </w:tcPr>
          <w:p>
            <w:r>
              <w:rPr>
                <w:b/>
                <w:bCs/>
                <w:color w:val="1E8449"/>
                <w:sz w:val="20"/>
                <w:szCs w:val="20"/>
              </w:rPr>
              <w:t xml:space="preserve">Fundamental</w:t>
            </w:r>
          </w:p>
        </w:tc>
        <w:tc>
          <w:tcPr>
            <w:tcW w:type="dxa" w:w="3000"/>
            <w:tcBorders>
              <w:top w:val="single" w:color="AED6F1" w:sz="4"/>
              <w:left w:val="single" w:color="AED6F1" w:sz="4"/>
              <w:bottom w:val="single" w:color="AED6F1" w:sz="4"/>
              <w:right w:val="single" w:color="AED6F1" w:sz="4"/>
            </w:tcBorders>
            <w:shd w:fill="EAFAF1" w:val="clear"/>
            <w:tcMar>
              <w:top w:type="dxa" w:w="80"/>
              <w:left w:type="dxa" w:w="140"/>
              <w:bottom w:type="dxa" w:w="80"/>
              <w:right w:type="dxa" w:w="140"/>
            </w:tcMar>
          </w:tcPr>
          <w:p>
            <w:r>
              <w:rPr>
                <w:b w:val="false"/>
                <w:bCs w:val="false"/>
                <w:color w:val="222222"/>
                <w:sz w:val="20"/>
                <w:szCs w:val="20"/>
              </w:rPr>
              <w:t xml:space="preserve">Piotroski F-Score ≥ 6, ROE positif, tidak ada dilusi saham baru</w:t>
            </w:r>
          </w:p>
        </w:tc>
        <w:tc>
          <w:tcPr>
            <w:tcW w:type="dxa" w:w="3000"/>
            <w:tcBorders>
              <w:top w:val="single" w:color="AED6F1" w:sz="4"/>
              <w:left w:val="single" w:color="AED6F1" w:sz="4"/>
              <w:bottom w:val="single" w:color="AED6F1" w:sz="4"/>
              <w:right w:val="single" w:color="AED6F1" w:sz="4"/>
            </w:tcBorders>
            <w:shd w:fill="EAFAF1" w:val="clear"/>
            <w:tcMar>
              <w:top w:type="dxa" w:w="80"/>
              <w:left w:type="dxa" w:w="140"/>
              <w:bottom w:type="dxa" w:w="80"/>
              <w:right w:type="dxa" w:w="140"/>
            </w:tcMar>
          </w:tcPr>
          <w:p>
            <w:r>
              <w:rPr>
                <w:b w:val="false"/>
                <w:bCs w:val="false"/>
                <w:color w:val="222222"/>
                <w:sz w:val="20"/>
                <w:szCs w:val="20"/>
              </w:rPr>
              <w:t xml:space="preserve">Laporan keuangan, screener fundamental</w:t>
            </w:r>
          </w:p>
        </w:tc>
      </w:tr>
      <w:tr>
        <w:tc>
          <w:tcPr>
            <w:tcW w:type="dxa" w:w="600"/>
            <w:tcBorders>
              <w:top w:val="single" w:color="AED6F1" w:sz="4"/>
              <w:left w:val="single" w:color="AED6F1" w:sz="4"/>
              <w:bottom w:val="single" w:color="AED6F1" w:sz="4"/>
              <w:right w:val="single" w:color="AED6F1" w:sz="4"/>
            </w:tcBorders>
            <w:shd w:fill="EBF5FB" w:val="clear"/>
            <w:tcMar>
              <w:top w:type="dxa" w:w="80"/>
              <w:left w:type="dxa" w:w="140"/>
              <w:bottom w:type="dxa" w:w="80"/>
              <w:right w:type="dxa" w:w="140"/>
            </w:tcMar>
          </w:tcPr>
          <w:p>
            <w:r>
              <w:rPr>
                <w:b/>
                <w:bCs/>
                <w:color w:val="222222"/>
                <w:sz w:val="20"/>
                <w:szCs w:val="20"/>
              </w:rPr>
              <w:t xml:space="preserve">3</w:t>
            </w:r>
          </w:p>
        </w:tc>
        <w:tc>
          <w:tcPr>
            <w:tcW w:type="dxa" w:w="2426"/>
            <w:tcBorders>
              <w:top w:val="single" w:color="AED6F1" w:sz="4"/>
              <w:left w:val="single" w:color="AED6F1" w:sz="4"/>
              <w:bottom w:val="single" w:color="AED6F1" w:sz="4"/>
              <w:right w:val="single" w:color="AED6F1" w:sz="4"/>
            </w:tcBorders>
            <w:shd w:fill="EBF5FB" w:val="clear"/>
            <w:tcMar>
              <w:top w:type="dxa" w:w="80"/>
              <w:left w:type="dxa" w:w="140"/>
              <w:bottom w:type="dxa" w:w="80"/>
              <w:right w:type="dxa" w:w="140"/>
            </w:tcMar>
          </w:tcPr>
          <w:p>
            <w:r>
              <w:rPr>
                <w:b/>
                <w:bCs/>
                <w:color w:val="2980B9"/>
                <w:sz w:val="20"/>
                <w:szCs w:val="20"/>
              </w:rPr>
              <w:t xml:space="preserve">Teknikal &amp; Momentum</w:t>
            </w:r>
          </w:p>
        </w:tc>
        <w:tc>
          <w:tcPr>
            <w:tcW w:type="dxa" w:w="3000"/>
            <w:tcBorders>
              <w:top w:val="single" w:color="AED6F1" w:sz="4"/>
              <w:left w:val="single" w:color="AED6F1" w:sz="4"/>
              <w:bottom w:val="single" w:color="AED6F1" w:sz="4"/>
              <w:right w:val="single" w:color="AED6F1" w:sz="4"/>
            </w:tcBorders>
            <w:shd w:fill="EBF5FB" w:val="clear"/>
            <w:tcMar>
              <w:top w:type="dxa" w:w="80"/>
              <w:left w:type="dxa" w:w="140"/>
              <w:bottom w:type="dxa" w:w="80"/>
              <w:right w:type="dxa" w:w="140"/>
            </w:tcMar>
          </w:tcPr>
          <w:p>
            <w:r>
              <w:rPr>
                <w:b w:val="false"/>
                <w:bCs w:val="false"/>
                <w:color w:val="222222"/>
                <w:sz w:val="20"/>
                <w:szCs w:val="20"/>
              </w:rPr>
              <w:t xml:space="preserve">Skor screener ≥ 6 (BUY/STRONG BUY), fase Wyckoff Akumulasi atau Markup</w:t>
            </w:r>
          </w:p>
        </w:tc>
        <w:tc>
          <w:tcPr>
            <w:tcW w:type="dxa" w:w="3000"/>
            <w:tcBorders>
              <w:top w:val="single" w:color="AED6F1" w:sz="4"/>
              <w:left w:val="single" w:color="AED6F1" w:sz="4"/>
              <w:bottom w:val="single" w:color="AED6F1" w:sz="4"/>
              <w:right w:val="single" w:color="AED6F1" w:sz="4"/>
            </w:tcBorders>
            <w:shd w:fill="EBF5FB" w:val="clear"/>
            <w:tcMar>
              <w:top w:type="dxa" w:w="80"/>
              <w:left w:type="dxa" w:w="140"/>
              <w:bottom w:type="dxa" w:w="80"/>
              <w:right w:type="dxa" w:w="140"/>
            </w:tcMar>
          </w:tcPr>
          <w:p>
            <w:r>
              <w:rPr>
                <w:b w:val="false"/>
                <w:bCs w:val="false"/>
                <w:color w:val="222222"/>
                <w:sz w:val="20"/>
                <w:szCs w:val="20"/>
              </w:rPr>
              <w:t xml:space="preserve">Smart Money Analyst screener</w:t>
            </w:r>
          </w:p>
        </w:tc>
      </w:tr>
      <w:tr>
        <w:tc>
          <w:tcPr>
            <w:tcW w:type="dxa" w:w="600"/>
            <w:tcBorders>
              <w:top w:val="single" w:color="AED6F1" w:sz="4"/>
              <w:left w:val="single" w:color="AED6F1" w:sz="4"/>
              <w:bottom w:val="single" w:color="AED6F1" w:sz="4"/>
              <w:right w:val="single" w:color="AED6F1" w:sz="4"/>
            </w:tcBorders>
            <w:shd w:fill="FEF9E7" w:val="clear"/>
            <w:tcMar>
              <w:top w:type="dxa" w:w="80"/>
              <w:left w:type="dxa" w:w="140"/>
              <w:bottom w:type="dxa" w:w="80"/>
              <w:right w:type="dxa" w:w="140"/>
            </w:tcMar>
          </w:tcPr>
          <w:p>
            <w:r>
              <w:rPr>
                <w:b/>
                <w:bCs/>
                <w:color w:val="222222"/>
                <w:sz w:val="20"/>
                <w:szCs w:val="20"/>
              </w:rPr>
              <w:t xml:space="preserve">4</w:t>
            </w:r>
          </w:p>
        </w:tc>
        <w:tc>
          <w:tcPr>
            <w:tcW w:type="dxa" w:w="2426"/>
            <w:tcBorders>
              <w:top w:val="single" w:color="AED6F1" w:sz="4"/>
              <w:left w:val="single" w:color="AED6F1" w:sz="4"/>
              <w:bottom w:val="single" w:color="AED6F1" w:sz="4"/>
              <w:right w:val="single" w:color="AED6F1" w:sz="4"/>
            </w:tcBorders>
            <w:shd w:fill="FEF9E7" w:val="clear"/>
            <w:tcMar>
              <w:top w:type="dxa" w:w="80"/>
              <w:left w:type="dxa" w:w="140"/>
              <w:bottom w:type="dxa" w:w="80"/>
              <w:right w:type="dxa" w:w="140"/>
            </w:tcMar>
          </w:tcPr>
          <w:p>
            <w:r>
              <w:rPr>
                <w:b/>
                <w:bCs/>
                <w:color w:val="9A7D0A"/>
                <w:sz w:val="20"/>
                <w:szCs w:val="20"/>
              </w:rPr>
              <w:t xml:space="preserve">Timing &amp; Entry</w:t>
            </w:r>
          </w:p>
        </w:tc>
        <w:tc>
          <w:tcPr>
            <w:tcW w:type="dxa" w:w="3000"/>
            <w:tcBorders>
              <w:top w:val="single" w:color="AED6F1" w:sz="4"/>
              <w:left w:val="single" w:color="AED6F1" w:sz="4"/>
              <w:bottom w:val="single" w:color="AED6F1" w:sz="4"/>
              <w:right w:val="single" w:color="AED6F1" w:sz="4"/>
            </w:tcBorders>
            <w:shd w:fill="FEF9E7" w:val="clear"/>
            <w:tcMar>
              <w:top w:type="dxa" w:w="80"/>
              <w:left w:type="dxa" w:w="140"/>
              <w:bottom w:type="dxa" w:w="80"/>
              <w:right w:type="dxa" w:w="140"/>
            </w:tcMar>
          </w:tcPr>
          <w:p>
            <w:r>
              <w:rPr>
                <w:b w:val="false"/>
                <w:bCs w:val="false"/>
                <w:color w:val="222222"/>
                <w:sz w:val="20"/>
                <w:szCs w:val="20"/>
              </w:rPr>
              <w:t xml:space="preserve">RSI di zona 40–70, Donchian mendekati upper band, CMF positif</w:t>
            </w:r>
          </w:p>
        </w:tc>
        <w:tc>
          <w:tcPr>
            <w:tcW w:type="dxa" w:w="3000"/>
            <w:tcBorders>
              <w:top w:val="single" w:color="AED6F1" w:sz="4"/>
              <w:left w:val="single" w:color="AED6F1" w:sz="4"/>
              <w:bottom w:val="single" w:color="AED6F1" w:sz="4"/>
              <w:right w:val="single" w:color="AED6F1" w:sz="4"/>
            </w:tcBorders>
            <w:shd w:fill="FEF9E7" w:val="clear"/>
            <w:tcMar>
              <w:top w:type="dxa" w:w="80"/>
              <w:left w:type="dxa" w:w="140"/>
              <w:bottom w:type="dxa" w:w="80"/>
              <w:right w:type="dxa" w:w="140"/>
            </w:tcMar>
          </w:tcPr>
          <w:p>
            <w:r>
              <w:rPr>
                <w:b w:val="false"/>
                <w:bCs w:val="false"/>
                <w:color w:val="222222"/>
                <w:sz w:val="20"/>
                <w:szCs w:val="20"/>
              </w:rPr>
              <w:t xml:space="preserve">Chart individual + ATR untuk SL/TP</w:t>
            </w:r>
          </w:p>
        </w:tc>
      </w:tr>
    </w:tbl>
    <w:p>
      <w:pPr>
        <w:spacing w:before="160"/>
      </w:pPr>
    </w:p>
    <w:p>
      <w:pPr>
        <w:pBdr>
          <w:left w:val="single" w:color="1B4F72" w:sz="20"/>
        </w:pBdr>
        <w:shd w:fill="D6EAF8" w:val="clear"/>
        <w:spacing w:after="120" w:before="120"/>
        <w:ind w:left="360"/>
      </w:pPr>
      <w:r>
        <w:rPr>
          <w:b/>
          <w:bCs/>
          <w:color w:val="1B4F72"/>
          <w:sz w:val="22"/>
          <w:szCs w:val="22"/>
        </w:rPr>
        <w:t xml:space="preserve">Prinsip dasar: </w:t>
      </w:r>
      <w:r>
        <w:rPr>
          <w:color w:val="333333"/>
          <w:sz w:val="22"/>
          <w:szCs w:val="22"/>
        </w:rPr>
        <w:t xml:space="preserve">saham yang melewati semua 4 filter secara bersamaan adalah kandidat terkuat. Dalam praktiknya, kamu mencari saham yang lolos minimal filter 1 (kehalalan) + 3 (teknikal) + 4 (timing). Filter 2 (fundamental) jadi pertimbangan tambahan untuk posisi jangka panjang.</w:t>
      </w:r>
    </w:p>
    <w:p>
      <w:pPr>
        <w:pBdr>
          <w:bottom w:val="single" w:color="AED6F1" w:sz="4" w:space="1"/>
        </w:pBdr>
        <w:spacing w:after="160" w:before="160"/>
      </w:pPr>
    </w:p>
    <w:p>
      <w:pPr>
        <w:pStyle w:val="Heading2"/>
        <w:spacing w:after="140" w:before="340"/>
      </w:pPr>
      <w:r>
        <w:rPr>
          <w:b/>
          <w:bCs/>
          <w:color w:val="1B4F72"/>
          <w:sz w:val="28"/>
          <w:szCs w:val="28"/>
        </w:rPr>
        <w:t xml:space="preserve">Contoh Nyata: Evaluasi 4 Saham Syariah IDX</w:t>
      </w:r>
    </w:p>
    <w:p>
      <w:pPr>
        <w:spacing w:after="120" w:before="60"/>
      </w:pPr>
      <w:r>
        <w:rPr>
          <w:sz w:val="22"/>
          <w:szCs w:val="22"/>
        </w:rPr>
        <w:t xml:space="preserve">Berikut ilustrasi bagaimana framework 4 lapis diterapkan pada saham-saham IDX yang umum dikenal:</w:t>
      </w:r>
    </w:p>
    <w:p>
      <w:pPr>
        <w:spacing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400"/>
        <w:gridCol w:w="1726"/>
        <w:gridCol w:w="1500"/>
        <w:gridCol w:w="2000"/>
      </w:tblGrid>
      <w:tr>
        <w:trPr>
          <w:tblHeader/>
        </w:trPr>
        <w:tc>
          <w:tcPr>
            <w:tcW w:type="dxa" w:w="1200"/>
            <w:tcBorders>
              <w:top w:val="single" w:color="AED6F1" w:sz="4"/>
              <w:left w:val="single" w:color="AED6F1" w:sz="4"/>
              <w:bottom w:val="single" w:color="AED6F1" w:sz="4"/>
              <w:right w:val="single" w:color="AED6F1" w:sz="4"/>
            </w:tcBorders>
            <w:shd w:fill="1B4F72" w:val="clear"/>
            <w:tcMar>
              <w:top w:type="dxa" w:w="80"/>
              <w:left w:type="dxa" w:w="140"/>
              <w:bottom w:type="dxa" w:w="80"/>
              <w:right w:type="dxa" w:w="140"/>
            </w:tcMar>
          </w:tcPr>
          <w:p>
            <w:r>
              <w:rPr>
                <w:b/>
                <w:bCs/>
                <w:color w:val="FFFFFF"/>
                <w:sz w:val="20"/>
                <w:szCs w:val="20"/>
              </w:rPr>
              <w:t xml:space="preserve">Saham</w:t>
            </w:r>
          </w:p>
        </w:tc>
        <w:tc>
          <w:tcPr>
            <w:tcW w:type="dxa" w:w="1200"/>
            <w:tcBorders>
              <w:top w:val="single" w:color="AED6F1" w:sz="4"/>
              <w:left w:val="single" w:color="AED6F1" w:sz="4"/>
              <w:bottom w:val="single" w:color="AED6F1" w:sz="4"/>
              <w:right w:val="single" w:color="AED6F1" w:sz="4"/>
            </w:tcBorders>
            <w:shd w:fill="1B4F72" w:val="clear"/>
            <w:tcMar>
              <w:top w:type="dxa" w:w="80"/>
              <w:left w:type="dxa" w:w="140"/>
              <w:bottom w:type="dxa" w:w="80"/>
              <w:right w:type="dxa" w:w="140"/>
            </w:tcMar>
          </w:tcPr>
          <w:p>
            <w:r>
              <w:rPr>
                <w:b/>
                <w:bCs/>
                <w:color w:val="FFFFFF"/>
                <w:sz w:val="20"/>
                <w:szCs w:val="20"/>
              </w:rPr>
              <w:t xml:space="preserve">JII70?</w:t>
            </w:r>
          </w:p>
        </w:tc>
        <w:tc>
          <w:tcPr>
            <w:tcW w:type="dxa" w:w="1400"/>
            <w:tcBorders>
              <w:top w:val="single" w:color="AED6F1" w:sz="4"/>
              <w:left w:val="single" w:color="AED6F1" w:sz="4"/>
              <w:bottom w:val="single" w:color="AED6F1" w:sz="4"/>
              <w:right w:val="single" w:color="AED6F1" w:sz="4"/>
            </w:tcBorders>
            <w:shd w:fill="1B4F72" w:val="clear"/>
            <w:tcMar>
              <w:top w:type="dxa" w:w="80"/>
              <w:left w:type="dxa" w:w="140"/>
              <w:bottom w:type="dxa" w:w="80"/>
              <w:right w:type="dxa" w:w="140"/>
            </w:tcMar>
          </w:tcPr>
          <w:p>
            <w:r>
              <w:rPr>
                <w:b/>
                <w:bCs/>
                <w:color w:val="FFFFFF"/>
                <w:sz w:val="20"/>
                <w:szCs w:val="20"/>
              </w:rPr>
              <w:t xml:space="preserve">Fundamental</w:t>
            </w:r>
          </w:p>
        </w:tc>
        <w:tc>
          <w:tcPr>
            <w:tcW w:type="dxa" w:w="1726"/>
            <w:tcBorders>
              <w:top w:val="single" w:color="AED6F1" w:sz="4"/>
              <w:left w:val="single" w:color="AED6F1" w:sz="4"/>
              <w:bottom w:val="single" w:color="AED6F1" w:sz="4"/>
              <w:right w:val="single" w:color="AED6F1" w:sz="4"/>
            </w:tcBorders>
            <w:shd w:fill="1B4F72" w:val="clear"/>
            <w:tcMar>
              <w:top w:type="dxa" w:w="80"/>
              <w:left w:type="dxa" w:w="140"/>
              <w:bottom w:type="dxa" w:w="80"/>
              <w:right w:type="dxa" w:w="140"/>
            </w:tcMar>
          </w:tcPr>
          <w:p>
            <w:r>
              <w:rPr>
                <w:b/>
                <w:bCs/>
                <w:color w:val="FFFFFF"/>
                <w:sz w:val="20"/>
                <w:szCs w:val="20"/>
              </w:rPr>
              <w:t xml:space="preserve">Skor Teknikal</w:t>
            </w:r>
          </w:p>
        </w:tc>
        <w:tc>
          <w:tcPr>
            <w:tcW w:type="dxa" w:w="1500"/>
            <w:tcBorders>
              <w:top w:val="single" w:color="AED6F1" w:sz="4"/>
              <w:left w:val="single" w:color="AED6F1" w:sz="4"/>
              <w:bottom w:val="single" w:color="AED6F1" w:sz="4"/>
              <w:right w:val="single" w:color="AED6F1" w:sz="4"/>
            </w:tcBorders>
            <w:shd w:fill="1B4F72" w:val="clear"/>
            <w:tcMar>
              <w:top w:type="dxa" w:w="80"/>
              <w:left w:type="dxa" w:w="140"/>
              <w:bottom w:type="dxa" w:w="80"/>
              <w:right w:type="dxa" w:w="140"/>
            </w:tcMar>
          </w:tcPr>
          <w:p>
            <w:r>
              <w:rPr>
                <w:b/>
                <w:bCs/>
                <w:color w:val="FFFFFF"/>
                <w:sz w:val="20"/>
                <w:szCs w:val="20"/>
              </w:rPr>
              <w:t xml:space="preserve">Fase Wyckoff</w:t>
            </w:r>
          </w:p>
        </w:tc>
        <w:tc>
          <w:tcPr>
            <w:tcW w:type="dxa" w:w="2000"/>
            <w:tcBorders>
              <w:top w:val="single" w:color="AED6F1" w:sz="4"/>
              <w:left w:val="single" w:color="AED6F1" w:sz="4"/>
              <w:bottom w:val="single" w:color="AED6F1" w:sz="4"/>
              <w:right w:val="single" w:color="AED6F1" w:sz="4"/>
            </w:tcBorders>
            <w:shd w:fill="1B4F72" w:val="clear"/>
            <w:tcMar>
              <w:top w:type="dxa" w:w="80"/>
              <w:left w:type="dxa" w:w="140"/>
              <w:bottom w:type="dxa" w:w="80"/>
              <w:right w:type="dxa" w:w="140"/>
            </w:tcMar>
          </w:tcPr>
          <w:p>
            <w:r>
              <w:rPr>
                <w:b/>
                <w:bCs/>
                <w:color w:val="FFFFFF"/>
                <w:sz w:val="20"/>
                <w:szCs w:val="20"/>
              </w:rPr>
              <w:t xml:space="preserve">Keputusan</w:t>
            </w:r>
          </w:p>
        </w:tc>
      </w:tr>
      <w:tr>
        <w:tc>
          <w:tcPr>
            <w:tcW w:type="dxa" w:w="1200"/>
            <w:tcBorders>
              <w:top w:val="single" w:color="AED6F1" w:sz="4"/>
              <w:left w:val="single" w:color="AED6F1" w:sz="4"/>
              <w:bottom w:val="single" w:color="AED6F1" w:sz="4"/>
              <w:right w:val="single" w:color="AED6F1" w:sz="4"/>
            </w:tcBorders>
            <w:shd w:fill="D5F5E3" w:val="clear"/>
            <w:tcMar>
              <w:top w:type="dxa" w:w="80"/>
              <w:left w:type="dxa" w:w="140"/>
              <w:bottom w:type="dxa" w:w="80"/>
              <w:right w:type="dxa" w:w="140"/>
            </w:tcMar>
          </w:tcPr>
          <w:p>
            <w:r>
              <w:rPr>
                <w:b w:val="false"/>
                <w:bCs w:val="false"/>
                <w:color w:val="222222"/>
                <w:sz w:val="20"/>
                <w:szCs w:val="20"/>
              </w:rPr>
              <w:t xml:space="preserve">PGEO</w:t>
            </w:r>
          </w:p>
        </w:tc>
        <w:tc>
          <w:tcPr>
            <w:tcW w:type="dxa" w:w="1200"/>
            <w:tcBorders>
              <w:top w:val="single" w:color="AED6F1" w:sz="4"/>
              <w:left w:val="single" w:color="AED6F1" w:sz="4"/>
              <w:bottom w:val="single" w:color="AED6F1" w:sz="4"/>
              <w:right w:val="single" w:color="AED6F1" w:sz="4"/>
            </w:tcBorders>
            <w:shd w:fill="D5F5E3" w:val="clear"/>
            <w:tcMar>
              <w:top w:type="dxa" w:w="80"/>
              <w:left w:type="dxa" w:w="140"/>
              <w:bottom w:type="dxa" w:w="80"/>
              <w:right w:type="dxa" w:w="140"/>
            </w:tcMar>
          </w:tcPr>
          <w:p>
            <w:r>
              <w:rPr>
                <w:b/>
                <w:bCs/>
                <w:color w:val="145A32"/>
                <w:sz w:val="20"/>
                <w:szCs w:val="20"/>
              </w:rPr>
              <w:t xml:space="preserve">Ya</w:t>
            </w:r>
          </w:p>
        </w:tc>
        <w:tc>
          <w:tcPr>
            <w:tcW w:type="dxa" w:w="1400"/>
            <w:tcBorders>
              <w:top w:val="single" w:color="AED6F1" w:sz="4"/>
              <w:left w:val="single" w:color="AED6F1" w:sz="4"/>
              <w:bottom w:val="single" w:color="AED6F1" w:sz="4"/>
              <w:right w:val="single" w:color="AED6F1" w:sz="4"/>
            </w:tcBorders>
            <w:shd w:fill="D5F5E3" w:val="clear"/>
            <w:tcMar>
              <w:top w:type="dxa" w:w="80"/>
              <w:left w:type="dxa" w:w="140"/>
              <w:bottom w:type="dxa" w:w="80"/>
              <w:right w:type="dxa" w:w="140"/>
            </w:tcMar>
          </w:tcPr>
          <w:p>
            <w:r>
              <w:rPr>
                <w:b w:val="false"/>
                <w:bCs w:val="false"/>
                <w:color w:val="222222"/>
                <w:sz w:val="20"/>
                <w:szCs w:val="20"/>
              </w:rPr>
              <w:t xml:space="preserve">F-Score: 7</w:t>
            </w:r>
          </w:p>
        </w:tc>
        <w:tc>
          <w:tcPr>
            <w:tcW w:type="dxa" w:w="1726"/>
            <w:tcBorders>
              <w:top w:val="single" w:color="AED6F1" w:sz="4"/>
              <w:left w:val="single" w:color="AED6F1" w:sz="4"/>
              <w:bottom w:val="single" w:color="AED6F1" w:sz="4"/>
              <w:right w:val="single" w:color="AED6F1" w:sz="4"/>
            </w:tcBorders>
            <w:shd w:fill="D5F5E3" w:val="clear"/>
            <w:tcMar>
              <w:top w:type="dxa" w:w="80"/>
              <w:left w:type="dxa" w:w="140"/>
              <w:bottom w:type="dxa" w:w="80"/>
              <w:right w:type="dxa" w:w="140"/>
            </w:tcMar>
          </w:tcPr>
          <w:p>
            <w:r>
              <w:rPr>
                <w:b/>
                <w:bCs/>
                <w:color w:val="145A32"/>
                <w:sz w:val="20"/>
                <w:szCs w:val="20"/>
              </w:rPr>
              <w:t xml:space="preserve">9 (STRONG BUY)</w:t>
            </w:r>
          </w:p>
        </w:tc>
        <w:tc>
          <w:tcPr>
            <w:tcW w:type="dxa" w:w="1500"/>
            <w:tcBorders>
              <w:top w:val="single" w:color="AED6F1" w:sz="4"/>
              <w:left w:val="single" w:color="AED6F1" w:sz="4"/>
              <w:bottom w:val="single" w:color="AED6F1" w:sz="4"/>
              <w:right w:val="single" w:color="AED6F1" w:sz="4"/>
            </w:tcBorders>
            <w:shd w:fill="D5F5E3" w:val="clear"/>
            <w:tcMar>
              <w:top w:type="dxa" w:w="80"/>
              <w:left w:type="dxa" w:w="140"/>
              <w:bottom w:type="dxa" w:w="80"/>
              <w:right w:type="dxa" w:w="140"/>
            </w:tcMar>
          </w:tcPr>
          <w:p>
            <w:r>
              <w:rPr>
                <w:b w:val="false"/>
                <w:bCs w:val="false"/>
                <w:color w:val="222222"/>
                <w:sz w:val="20"/>
                <w:szCs w:val="20"/>
              </w:rPr>
              <w:t xml:space="preserve">Akumulasi</w:t>
            </w:r>
          </w:p>
        </w:tc>
        <w:tc>
          <w:tcPr>
            <w:tcW w:type="dxa" w:w="2000"/>
            <w:tcBorders>
              <w:top w:val="single" w:color="AED6F1" w:sz="4"/>
              <w:left w:val="single" w:color="AED6F1" w:sz="4"/>
              <w:bottom w:val="single" w:color="AED6F1" w:sz="4"/>
              <w:right w:val="single" w:color="AED6F1" w:sz="4"/>
            </w:tcBorders>
            <w:shd w:fill="D5F5E3" w:val="clear"/>
            <w:tcMar>
              <w:top w:type="dxa" w:w="80"/>
              <w:left w:type="dxa" w:w="140"/>
              <w:bottom w:type="dxa" w:w="80"/>
              <w:right w:type="dxa" w:w="140"/>
            </w:tcMar>
          </w:tcPr>
          <w:p>
            <w:r>
              <w:rPr>
                <w:b/>
                <w:bCs/>
                <w:color w:val="145A32"/>
                <w:sz w:val="20"/>
                <w:szCs w:val="20"/>
              </w:rPr>
              <w:t xml:space="preserve">Kandidat KUAT</w:t>
            </w:r>
          </w:p>
        </w:tc>
      </w:tr>
      <w:tr>
        <w:tc>
          <w:tcPr>
            <w:tcW w:type="dxa" w:w="1200"/>
            <w:tcBorders>
              <w:top w:val="single" w:color="AED6F1" w:sz="4"/>
              <w:left w:val="single" w:color="AED6F1" w:sz="4"/>
              <w:bottom w:val="single" w:color="AED6F1" w:sz="4"/>
              <w:right w:val="single" w:color="AED6F1" w:sz="4"/>
            </w:tcBorders>
            <w:shd w:fill="EAFAF1" w:val="clear"/>
            <w:tcMar>
              <w:top w:type="dxa" w:w="80"/>
              <w:left w:type="dxa" w:w="140"/>
              <w:bottom w:type="dxa" w:w="80"/>
              <w:right w:type="dxa" w:w="140"/>
            </w:tcMar>
          </w:tcPr>
          <w:p>
            <w:r>
              <w:rPr>
                <w:b w:val="false"/>
                <w:bCs w:val="false"/>
                <w:color w:val="222222"/>
                <w:sz w:val="20"/>
                <w:szCs w:val="20"/>
              </w:rPr>
              <w:t xml:space="preserve">ADRO</w:t>
            </w:r>
          </w:p>
        </w:tc>
        <w:tc>
          <w:tcPr>
            <w:tcW w:type="dxa" w:w="1200"/>
            <w:tcBorders>
              <w:top w:val="single" w:color="AED6F1" w:sz="4"/>
              <w:left w:val="single" w:color="AED6F1" w:sz="4"/>
              <w:bottom w:val="single" w:color="AED6F1" w:sz="4"/>
              <w:right w:val="single" w:color="AED6F1" w:sz="4"/>
            </w:tcBorders>
            <w:shd w:fill="EAFAF1" w:val="clear"/>
            <w:tcMar>
              <w:top w:type="dxa" w:w="80"/>
              <w:left w:type="dxa" w:w="140"/>
              <w:bottom w:type="dxa" w:w="80"/>
              <w:right w:type="dxa" w:w="140"/>
            </w:tcMar>
          </w:tcPr>
          <w:p>
            <w:r>
              <w:rPr>
                <w:b/>
                <w:bCs/>
                <w:color w:val="1E8449"/>
                <w:sz w:val="20"/>
                <w:szCs w:val="20"/>
              </w:rPr>
              <w:t xml:space="preserve">Ya</w:t>
            </w:r>
          </w:p>
        </w:tc>
        <w:tc>
          <w:tcPr>
            <w:tcW w:type="dxa" w:w="1400"/>
            <w:tcBorders>
              <w:top w:val="single" w:color="AED6F1" w:sz="4"/>
              <w:left w:val="single" w:color="AED6F1" w:sz="4"/>
              <w:bottom w:val="single" w:color="AED6F1" w:sz="4"/>
              <w:right w:val="single" w:color="AED6F1" w:sz="4"/>
            </w:tcBorders>
            <w:shd w:fill="EAFAF1" w:val="clear"/>
            <w:tcMar>
              <w:top w:type="dxa" w:w="80"/>
              <w:left w:type="dxa" w:w="140"/>
              <w:bottom w:type="dxa" w:w="80"/>
              <w:right w:type="dxa" w:w="140"/>
            </w:tcMar>
          </w:tcPr>
          <w:p>
            <w:r>
              <w:rPr>
                <w:b w:val="false"/>
                <w:bCs w:val="false"/>
                <w:color w:val="222222"/>
                <w:sz w:val="20"/>
                <w:szCs w:val="20"/>
              </w:rPr>
              <w:t xml:space="preserve">F-Score: 6</w:t>
            </w:r>
          </w:p>
        </w:tc>
        <w:tc>
          <w:tcPr>
            <w:tcW w:type="dxa" w:w="1726"/>
            <w:tcBorders>
              <w:top w:val="single" w:color="AED6F1" w:sz="4"/>
              <w:left w:val="single" w:color="AED6F1" w:sz="4"/>
              <w:bottom w:val="single" w:color="AED6F1" w:sz="4"/>
              <w:right w:val="single" w:color="AED6F1" w:sz="4"/>
            </w:tcBorders>
            <w:shd w:fill="EAFAF1" w:val="clear"/>
            <w:tcMar>
              <w:top w:type="dxa" w:w="80"/>
              <w:left w:type="dxa" w:w="140"/>
              <w:bottom w:type="dxa" w:w="80"/>
              <w:right w:type="dxa" w:w="140"/>
            </w:tcMar>
          </w:tcPr>
          <w:p>
            <w:r>
              <w:rPr>
                <w:b w:val="false"/>
                <w:bCs w:val="false"/>
                <w:color w:val="222222"/>
                <w:sz w:val="20"/>
                <w:szCs w:val="20"/>
              </w:rPr>
              <w:t xml:space="preserve">7 (BUY)</w:t>
            </w:r>
          </w:p>
        </w:tc>
        <w:tc>
          <w:tcPr>
            <w:tcW w:type="dxa" w:w="1500"/>
            <w:tcBorders>
              <w:top w:val="single" w:color="AED6F1" w:sz="4"/>
              <w:left w:val="single" w:color="AED6F1" w:sz="4"/>
              <w:bottom w:val="single" w:color="AED6F1" w:sz="4"/>
              <w:right w:val="single" w:color="AED6F1" w:sz="4"/>
            </w:tcBorders>
            <w:shd w:fill="EAFAF1" w:val="clear"/>
            <w:tcMar>
              <w:top w:type="dxa" w:w="80"/>
              <w:left w:type="dxa" w:w="140"/>
              <w:bottom w:type="dxa" w:w="80"/>
              <w:right w:type="dxa" w:w="140"/>
            </w:tcMar>
          </w:tcPr>
          <w:p>
            <w:r>
              <w:rPr>
                <w:b w:val="false"/>
                <w:bCs w:val="false"/>
                <w:color w:val="222222"/>
                <w:sz w:val="20"/>
                <w:szCs w:val="20"/>
              </w:rPr>
              <w:t xml:space="preserve">Markup</w:t>
            </w:r>
          </w:p>
        </w:tc>
        <w:tc>
          <w:tcPr>
            <w:tcW w:type="dxa" w:w="2000"/>
            <w:tcBorders>
              <w:top w:val="single" w:color="AED6F1" w:sz="4"/>
              <w:left w:val="single" w:color="AED6F1" w:sz="4"/>
              <w:bottom w:val="single" w:color="AED6F1" w:sz="4"/>
              <w:right w:val="single" w:color="AED6F1" w:sz="4"/>
            </w:tcBorders>
            <w:shd w:fill="EAFAF1" w:val="clear"/>
            <w:tcMar>
              <w:top w:type="dxa" w:w="80"/>
              <w:left w:type="dxa" w:w="140"/>
              <w:bottom w:type="dxa" w:w="80"/>
              <w:right w:type="dxa" w:w="140"/>
            </w:tcMar>
          </w:tcPr>
          <w:p>
            <w:r>
              <w:rPr>
                <w:b w:val="false"/>
                <w:bCs w:val="false"/>
                <w:color w:val="222222"/>
                <w:sz w:val="20"/>
                <w:szCs w:val="20"/>
              </w:rPr>
              <w:t xml:space="preserve">Kandidat BAIK — entry dengan lot lebih kecil</w:t>
            </w:r>
          </w:p>
        </w:tc>
      </w:tr>
      <w:tr>
        <w:tc>
          <w:tcPr>
            <w:tcW w:type="dxa" w:w="1200"/>
            <w:tcBorders>
              <w:top w:val="single" w:color="AED6F1" w:sz="4"/>
              <w:left w:val="single" w:color="AED6F1" w:sz="4"/>
              <w:bottom w:val="single" w:color="AED6F1" w:sz="4"/>
              <w:right w:val="single" w:color="AED6F1" w:sz="4"/>
            </w:tcBorders>
            <w:shd w:fill="FEF9E7" w:val="clear"/>
            <w:tcMar>
              <w:top w:type="dxa" w:w="80"/>
              <w:left w:type="dxa" w:w="140"/>
              <w:bottom w:type="dxa" w:w="80"/>
              <w:right w:type="dxa" w:w="140"/>
            </w:tcMar>
          </w:tcPr>
          <w:p>
            <w:r>
              <w:rPr>
                <w:b w:val="false"/>
                <w:bCs w:val="false"/>
                <w:color w:val="222222"/>
                <w:sz w:val="20"/>
                <w:szCs w:val="20"/>
              </w:rPr>
              <w:t xml:space="preserve">TLKM</w:t>
            </w:r>
          </w:p>
        </w:tc>
        <w:tc>
          <w:tcPr>
            <w:tcW w:type="dxa" w:w="1200"/>
            <w:tcBorders>
              <w:top w:val="single" w:color="AED6F1" w:sz="4"/>
              <w:left w:val="single" w:color="AED6F1" w:sz="4"/>
              <w:bottom w:val="single" w:color="AED6F1" w:sz="4"/>
              <w:right w:val="single" w:color="AED6F1" w:sz="4"/>
            </w:tcBorders>
            <w:shd w:fill="FEF9E7" w:val="clear"/>
            <w:tcMar>
              <w:top w:type="dxa" w:w="80"/>
              <w:left w:type="dxa" w:w="140"/>
              <w:bottom w:type="dxa" w:w="80"/>
              <w:right w:type="dxa" w:w="140"/>
            </w:tcMar>
          </w:tcPr>
          <w:p>
            <w:r>
              <w:rPr>
                <w:b/>
                <w:bCs/>
                <w:color w:val="9A7D0A"/>
                <w:sz w:val="20"/>
                <w:szCs w:val="20"/>
              </w:rPr>
              <w:t xml:space="preserve">Ya</w:t>
            </w:r>
          </w:p>
        </w:tc>
        <w:tc>
          <w:tcPr>
            <w:tcW w:type="dxa" w:w="1400"/>
            <w:tcBorders>
              <w:top w:val="single" w:color="AED6F1" w:sz="4"/>
              <w:left w:val="single" w:color="AED6F1" w:sz="4"/>
              <w:bottom w:val="single" w:color="AED6F1" w:sz="4"/>
              <w:right w:val="single" w:color="AED6F1" w:sz="4"/>
            </w:tcBorders>
            <w:shd w:fill="FEF9E7" w:val="clear"/>
            <w:tcMar>
              <w:top w:type="dxa" w:w="80"/>
              <w:left w:type="dxa" w:w="140"/>
              <w:bottom w:type="dxa" w:w="80"/>
              <w:right w:type="dxa" w:w="140"/>
            </w:tcMar>
          </w:tcPr>
          <w:p>
            <w:r>
              <w:rPr>
                <w:b w:val="false"/>
                <w:bCs w:val="false"/>
                <w:color w:val="222222"/>
                <w:sz w:val="20"/>
                <w:szCs w:val="20"/>
              </w:rPr>
              <w:t xml:space="preserve">F-Score: 5</w:t>
            </w:r>
          </w:p>
        </w:tc>
        <w:tc>
          <w:tcPr>
            <w:tcW w:type="dxa" w:w="1726"/>
            <w:tcBorders>
              <w:top w:val="single" w:color="AED6F1" w:sz="4"/>
              <w:left w:val="single" w:color="AED6F1" w:sz="4"/>
              <w:bottom w:val="single" w:color="AED6F1" w:sz="4"/>
              <w:right w:val="single" w:color="AED6F1" w:sz="4"/>
            </w:tcBorders>
            <w:shd w:fill="FEF9E7" w:val="clear"/>
            <w:tcMar>
              <w:top w:type="dxa" w:w="80"/>
              <w:left w:type="dxa" w:w="140"/>
              <w:bottom w:type="dxa" w:w="80"/>
              <w:right w:type="dxa" w:w="140"/>
            </w:tcMar>
          </w:tcPr>
          <w:p>
            <w:r>
              <w:rPr>
                <w:b w:val="false"/>
                <w:bCs w:val="false"/>
                <w:color w:val="222222"/>
                <w:sz w:val="20"/>
                <w:szCs w:val="20"/>
              </w:rPr>
              <w:t xml:space="preserve">5 (NEUTRAL)</w:t>
            </w:r>
          </w:p>
        </w:tc>
        <w:tc>
          <w:tcPr>
            <w:tcW w:type="dxa" w:w="1500"/>
            <w:tcBorders>
              <w:top w:val="single" w:color="AED6F1" w:sz="4"/>
              <w:left w:val="single" w:color="AED6F1" w:sz="4"/>
              <w:bottom w:val="single" w:color="AED6F1" w:sz="4"/>
              <w:right w:val="single" w:color="AED6F1" w:sz="4"/>
            </w:tcBorders>
            <w:shd w:fill="FEF9E7" w:val="clear"/>
            <w:tcMar>
              <w:top w:type="dxa" w:w="80"/>
              <w:left w:type="dxa" w:w="140"/>
              <w:bottom w:type="dxa" w:w="80"/>
              <w:right w:type="dxa" w:w="140"/>
            </w:tcMar>
          </w:tcPr>
          <w:p>
            <w:r>
              <w:rPr>
                <w:b w:val="false"/>
                <w:bCs w:val="false"/>
                <w:color w:val="222222"/>
                <w:sz w:val="20"/>
                <w:szCs w:val="20"/>
              </w:rPr>
              <w:t xml:space="preserve">Distribusi</w:t>
            </w:r>
          </w:p>
        </w:tc>
        <w:tc>
          <w:tcPr>
            <w:tcW w:type="dxa" w:w="2000"/>
            <w:tcBorders>
              <w:top w:val="single" w:color="AED6F1" w:sz="4"/>
              <w:left w:val="single" w:color="AED6F1" w:sz="4"/>
              <w:bottom w:val="single" w:color="AED6F1" w:sz="4"/>
              <w:right w:val="single" w:color="AED6F1" w:sz="4"/>
            </w:tcBorders>
            <w:shd w:fill="FEF9E7" w:val="clear"/>
            <w:tcMar>
              <w:top w:type="dxa" w:w="80"/>
              <w:left w:type="dxa" w:w="140"/>
              <w:bottom w:type="dxa" w:w="80"/>
              <w:right w:type="dxa" w:w="140"/>
            </w:tcMar>
          </w:tcPr>
          <w:p>
            <w:r>
              <w:rPr>
                <w:b/>
                <w:bCs/>
                <w:color w:val="D35400"/>
                <w:sz w:val="20"/>
                <w:szCs w:val="20"/>
              </w:rPr>
              <w:t xml:space="preserve">TUNGGU — teknikal belum mendukung meski masuk JII</w:t>
            </w:r>
          </w:p>
        </w:tc>
      </w:tr>
      <w:tr>
        <w:tc>
          <w:tcPr>
            <w:tcW w:type="dxa" w:w="1200"/>
            <w:tcBorders>
              <w:top w:val="single" w:color="AED6F1" w:sz="4"/>
              <w:left w:val="single" w:color="AED6F1" w:sz="4"/>
              <w:bottom w:val="single" w:color="AED6F1" w:sz="4"/>
              <w:right w:val="single" w:color="AED6F1" w:sz="4"/>
            </w:tcBorders>
            <w:shd w:fill="FDEDEC" w:val="clear"/>
            <w:tcMar>
              <w:top w:type="dxa" w:w="80"/>
              <w:left w:type="dxa" w:w="140"/>
              <w:bottom w:type="dxa" w:w="80"/>
              <w:right w:type="dxa" w:w="140"/>
            </w:tcMar>
          </w:tcPr>
          <w:p>
            <w:r>
              <w:rPr>
                <w:b w:val="false"/>
                <w:bCs w:val="false"/>
                <w:color w:val="222222"/>
                <w:sz w:val="20"/>
                <w:szCs w:val="20"/>
              </w:rPr>
              <w:t xml:space="preserve">Saham X</w:t>
            </w:r>
          </w:p>
        </w:tc>
        <w:tc>
          <w:tcPr>
            <w:tcW w:type="dxa" w:w="1200"/>
            <w:tcBorders>
              <w:top w:val="single" w:color="AED6F1" w:sz="4"/>
              <w:left w:val="single" w:color="AED6F1" w:sz="4"/>
              <w:bottom w:val="single" w:color="AED6F1" w:sz="4"/>
              <w:right w:val="single" w:color="AED6F1" w:sz="4"/>
            </w:tcBorders>
            <w:shd w:fill="FDEDEC" w:val="clear"/>
            <w:tcMar>
              <w:top w:type="dxa" w:w="80"/>
              <w:left w:type="dxa" w:w="140"/>
              <w:bottom w:type="dxa" w:w="80"/>
              <w:right w:type="dxa" w:w="140"/>
            </w:tcMar>
          </w:tcPr>
          <w:p>
            <w:r>
              <w:rPr>
                <w:b w:val="false"/>
                <w:bCs w:val="false"/>
                <w:color w:val="222222"/>
                <w:sz w:val="20"/>
                <w:szCs w:val="20"/>
              </w:rPr>
              <w:t xml:space="preserve">Ya (ISSI)</w:t>
            </w:r>
          </w:p>
        </w:tc>
        <w:tc>
          <w:tcPr>
            <w:tcW w:type="dxa" w:w="1400"/>
            <w:tcBorders>
              <w:top w:val="single" w:color="AED6F1" w:sz="4"/>
              <w:left w:val="single" w:color="AED6F1" w:sz="4"/>
              <w:bottom w:val="single" w:color="AED6F1" w:sz="4"/>
              <w:right w:val="single" w:color="AED6F1" w:sz="4"/>
            </w:tcBorders>
            <w:shd w:fill="FDEDEC" w:val="clear"/>
            <w:tcMar>
              <w:top w:type="dxa" w:w="80"/>
              <w:left w:type="dxa" w:w="140"/>
              <w:bottom w:type="dxa" w:w="80"/>
              <w:right w:type="dxa" w:w="140"/>
            </w:tcMar>
          </w:tcPr>
          <w:p>
            <w:r>
              <w:rPr>
                <w:b w:val="false"/>
                <w:bCs w:val="false"/>
                <w:color w:val="222222"/>
                <w:sz w:val="20"/>
                <w:szCs w:val="20"/>
              </w:rPr>
              <w:t xml:space="preserve">F-Score: 3</w:t>
            </w:r>
          </w:p>
        </w:tc>
        <w:tc>
          <w:tcPr>
            <w:tcW w:type="dxa" w:w="1726"/>
            <w:tcBorders>
              <w:top w:val="single" w:color="AED6F1" w:sz="4"/>
              <w:left w:val="single" w:color="AED6F1" w:sz="4"/>
              <w:bottom w:val="single" w:color="AED6F1" w:sz="4"/>
              <w:right w:val="single" w:color="AED6F1" w:sz="4"/>
            </w:tcBorders>
            <w:shd w:fill="FDEDEC" w:val="clear"/>
            <w:tcMar>
              <w:top w:type="dxa" w:w="80"/>
              <w:left w:type="dxa" w:w="140"/>
              <w:bottom w:type="dxa" w:w="80"/>
              <w:right w:type="dxa" w:w="140"/>
            </w:tcMar>
          </w:tcPr>
          <w:p>
            <w:r>
              <w:rPr>
                <w:b/>
                <w:bCs/>
                <w:color w:val="C0392B"/>
                <w:sz w:val="20"/>
                <w:szCs w:val="20"/>
              </w:rPr>
              <w:t xml:space="preserve">3 (WAIT)</w:t>
            </w:r>
          </w:p>
        </w:tc>
        <w:tc>
          <w:tcPr>
            <w:tcW w:type="dxa" w:w="1500"/>
            <w:tcBorders>
              <w:top w:val="single" w:color="AED6F1" w:sz="4"/>
              <w:left w:val="single" w:color="AED6F1" w:sz="4"/>
              <w:bottom w:val="single" w:color="AED6F1" w:sz="4"/>
              <w:right w:val="single" w:color="AED6F1" w:sz="4"/>
            </w:tcBorders>
            <w:shd w:fill="FDEDEC" w:val="clear"/>
            <w:tcMar>
              <w:top w:type="dxa" w:w="80"/>
              <w:left w:type="dxa" w:w="140"/>
              <w:bottom w:type="dxa" w:w="80"/>
              <w:right w:type="dxa" w:w="140"/>
            </w:tcMar>
          </w:tcPr>
          <w:p>
            <w:r>
              <w:rPr>
                <w:b w:val="false"/>
                <w:bCs w:val="false"/>
                <w:color w:val="222222"/>
                <w:sz w:val="20"/>
                <w:szCs w:val="20"/>
              </w:rPr>
              <w:t xml:space="preserve">Markdown</w:t>
            </w:r>
          </w:p>
        </w:tc>
        <w:tc>
          <w:tcPr>
            <w:tcW w:type="dxa" w:w="2000"/>
            <w:tcBorders>
              <w:top w:val="single" w:color="AED6F1" w:sz="4"/>
              <w:left w:val="single" w:color="AED6F1" w:sz="4"/>
              <w:bottom w:val="single" w:color="AED6F1" w:sz="4"/>
              <w:right w:val="single" w:color="AED6F1" w:sz="4"/>
            </w:tcBorders>
            <w:shd w:fill="FDEDEC" w:val="clear"/>
            <w:tcMar>
              <w:top w:type="dxa" w:w="80"/>
              <w:left w:type="dxa" w:w="140"/>
              <w:bottom w:type="dxa" w:w="80"/>
              <w:right w:type="dxa" w:w="140"/>
            </w:tcMar>
          </w:tcPr>
          <w:p>
            <w:r>
              <w:rPr>
                <w:b/>
                <w:bCs/>
                <w:color w:val="C0392B"/>
                <w:sz w:val="20"/>
                <w:szCs w:val="20"/>
              </w:rPr>
              <w:t xml:space="preserve">HINDARI — halal tapi kondisi buruk</w:t>
            </w:r>
          </w:p>
        </w:tc>
      </w:tr>
    </w:tbl>
    <w:p>
      <w:pPr>
        <w:spacing w:before="160"/>
      </w:pPr>
    </w:p>
    <w:p>
      <w:pPr>
        <w:spacing w:after="120" w:before="60"/>
      </w:pPr>
      <w:r>
        <w:rPr>
          <w:sz w:val="22"/>
          <w:szCs w:val="22"/>
        </w:rPr>
        <w:t xml:space="preserve">Perhatikan TLKM di contoh di atas: saham ini masuk JII70 (halal, likuid), tapi kondisi teknikal dan fase Wyckoff-nya saat itu tidak mendukung entry. Investor yang hanya melihat "masuk JII70" akan masuk di waktu yang salah.</w:t>
      </w:r>
    </w:p>
    <w:p>
      <w:pPr>
        <w:pBdr>
          <w:left w:val="single" w:color="2980B9" w:sz="20"/>
        </w:pBdr>
        <w:shd w:fill="EBF5FB" w:val="clear"/>
        <w:spacing w:after="120" w:before="120"/>
        <w:ind w:left="360"/>
      </w:pPr>
      <w:r>
        <w:rPr>
          <w:b/>
          <w:bCs/>
          <w:color w:val="2980B9"/>
          <w:sz w:val="22"/>
          <w:szCs w:val="22"/>
        </w:rPr>
        <w:t xml:space="preserve">[LINK: Cara Baca Sinyal STRONG BUY vs BUY — panduan lengkap membaca skor teknikal 6 komponen screener]</w:t>
      </w:r>
    </w:p>
    <w:p>
      <w:pPr>
        <w:pBdr>
          <w:bottom w:val="single" w:color="AED6F1" w:sz="4" w:space="1"/>
        </w:pBdr>
        <w:spacing w:after="160" w:before="160"/>
      </w:pPr>
    </w:p>
    <w:p>
      <w:pPr>
        <w:pStyle w:val="Heading2"/>
        <w:spacing w:after="140" w:before="340"/>
      </w:pPr>
      <w:r>
        <w:rPr>
          <w:b/>
          <w:bCs/>
          <w:color w:val="1B4F72"/>
          <w:sz w:val="28"/>
          <w:szCs w:val="28"/>
        </w:rPr>
        <w:t xml:space="preserve">Cara Praktis Memilih Saham Syariah Terbaik: Step by Step</w:t>
      </w:r>
    </w:p>
    <w:p>
      <w:pPr>
        <w:pStyle w:val="ListParagraph"/>
        <w:numPr>
          <w:ilvl w:val="0"/>
          <w:numId w:val="2"/>
        </w:numPr>
        <w:spacing w:after="60" w:before="40"/>
      </w:pPr>
      <w:r>
        <w:rPr>
          <w:sz w:val="22"/>
          <w:szCs w:val="22"/>
        </w:rPr>
        <w:t xml:space="preserve">Buka Daftar Efek Syariah (DES) OJK terbaru atau gunakan screener yang sudah pre-filter JII70/ISSI</w:t>
      </w:r>
    </w:p>
    <w:p>
      <w:pPr>
        <w:pStyle w:val="ListParagraph"/>
        <w:numPr>
          <w:ilvl w:val="0"/>
          <w:numId w:val="2"/>
        </w:numPr>
        <w:spacing w:after="60" w:before="40"/>
      </w:pPr>
      <w:r>
        <w:rPr>
          <w:sz w:val="22"/>
          <w:szCs w:val="22"/>
        </w:rPr>
        <w:t xml:space="preserve">Saring berdasarkan sektor yang sedang dalam tren positif — hindari sektor yang sedang downtrend besar</w:t>
      </w:r>
    </w:p>
    <w:p>
      <w:pPr>
        <w:pStyle w:val="ListParagraph"/>
        <w:numPr>
          <w:ilvl w:val="0"/>
          <w:numId w:val="2"/>
        </w:numPr>
        <w:spacing w:after="60" w:before="40"/>
      </w:pPr>
      <w:r>
        <w:rPr>
          <w:b/>
          <w:bCs/>
          <w:color w:val="000000"/>
          <w:sz w:val="22"/>
          <w:szCs w:val="22"/>
        </w:rPr>
        <w:t xml:space="preserve">Cek skor teknikal: </w:t>
      </w:r>
      <w:r>
        <w:rPr>
          <w:sz w:val="22"/>
          <w:szCs w:val="22"/>
        </w:rPr>
        <w:t xml:space="preserve">prioritaskan saham dengan status BUY atau STRONG BUY di screener</w:t>
      </w:r>
    </w:p>
    <w:p>
      <w:pPr>
        <w:pStyle w:val="ListParagraph"/>
        <w:numPr>
          <w:ilvl w:val="0"/>
          <w:numId w:val="2"/>
        </w:numPr>
        <w:spacing w:after="60" w:before="40"/>
      </w:pPr>
      <w:r>
        <w:rPr>
          <w:b/>
          <w:bCs/>
          <w:color w:val="000000"/>
          <w:sz w:val="22"/>
          <w:szCs w:val="22"/>
        </w:rPr>
        <w:t xml:space="preserve">Filter fase Wyckoff: </w:t>
      </w:r>
      <w:r>
        <w:rPr>
          <w:sz w:val="22"/>
          <w:szCs w:val="22"/>
        </w:rPr>
        <w:t xml:space="preserve">pilih yang berada di fase Akumulasi atau awal Markup — hindari Distribusi dan Markdown</w:t>
      </w:r>
    </w:p>
    <w:p>
      <w:pPr>
        <w:pStyle w:val="ListParagraph"/>
        <w:numPr>
          <w:ilvl w:val="0"/>
          <w:numId w:val="2"/>
        </w:numPr>
        <w:spacing w:after="60" w:before="40"/>
      </w:pPr>
      <w:r>
        <w:rPr>
          <w:sz w:val="22"/>
          <w:szCs w:val="22"/>
        </w:rPr>
        <w:t xml:space="preserve">Cek net foreign flow: untuk IDX, konfirmasi asing sedang net beli dalam 5 hari terakhir</w:t>
      </w:r>
    </w:p>
    <w:p>
      <w:pPr>
        <w:pStyle w:val="ListParagraph"/>
        <w:numPr>
          <w:ilvl w:val="0"/>
          <w:numId w:val="2"/>
        </w:numPr>
        <w:spacing w:after="60" w:before="40"/>
      </w:pPr>
      <w:r>
        <w:rPr>
          <w:sz w:val="22"/>
          <w:szCs w:val="22"/>
        </w:rPr>
        <w:t xml:space="preserve">Buka chart individual: konfirmasi RSI di zona sehat (40–70), harga di atas EMA200, Donchian mendekati upper band</w:t>
      </w:r>
    </w:p>
    <w:p>
      <w:pPr>
        <w:pStyle w:val="ListParagraph"/>
        <w:numPr>
          <w:ilvl w:val="0"/>
          <w:numId w:val="2"/>
        </w:numPr>
        <w:spacing w:after="60" w:before="40"/>
      </w:pPr>
      <w:r>
        <w:rPr>
          <w:b/>
          <w:bCs/>
          <w:color w:val="000000"/>
          <w:sz w:val="22"/>
          <w:szCs w:val="22"/>
        </w:rPr>
        <w:t xml:space="preserve">Cek Piotroski F-Score: </w:t>
      </w:r>
      <w:r>
        <w:rPr>
          <w:sz w:val="22"/>
          <w:szCs w:val="22"/>
        </w:rPr>
        <w:t xml:space="preserve">untuk posisi jangka menengah-panjang, pilih yang skornya 6–9 (medium-strong)</w:t>
      </w:r>
    </w:p>
    <w:p>
      <w:pPr>
        <w:pStyle w:val="ListParagraph"/>
        <w:numPr>
          <w:ilvl w:val="0"/>
          <w:numId w:val="2"/>
        </w:numPr>
        <w:spacing w:after="60" w:before="40"/>
      </w:pPr>
      <w:r>
        <w:rPr>
          <w:sz w:val="22"/>
          <w:szCs w:val="22"/>
        </w:rPr>
        <w:t xml:space="preserve">Tentukan entry, SL berbasis ATR, dan TP dengan R/R minimal 1:2</w:t>
      </w:r>
    </w:p>
    <w:p>
      <w:pPr>
        <w:pStyle w:val="ListParagraph"/>
        <w:numPr>
          <w:ilvl w:val="0"/>
          <w:numId w:val="2"/>
        </w:numPr>
        <w:spacing w:after="60" w:before="40"/>
      </w:pPr>
      <w:r>
        <w:rPr>
          <w:sz w:val="22"/>
          <w:szCs w:val="22"/>
        </w:rPr>
        <w:t xml:space="preserve">Hitung position sizing — jangan lebih dari 25% modal untuk satu saham</w:t>
      </w:r>
    </w:p>
    <w:p>
      <w:pPr>
        <w:pStyle w:val="ListParagraph"/>
        <w:numPr>
          <w:ilvl w:val="0"/>
          <w:numId w:val="2"/>
        </w:numPr>
        <w:spacing w:after="60" w:before="40"/>
      </w:pPr>
      <w:r>
        <w:rPr>
          <w:sz w:val="22"/>
          <w:szCs w:val="22"/>
        </w:rPr>
        <w:t xml:space="preserve">Catat alasan entry dan jadwalkan review berkala, terutama menjelang revisi DES (April dan Oktober)</w:t>
      </w:r>
    </w:p>
    <w:p>
      <w:pPr>
        <w:pBdr>
          <w:bottom w:val="single" w:color="AED6F1" w:sz="4" w:space="1"/>
        </w:pBdr>
        <w:spacing w:after="160" w:before="160"/>
      </w:pPr>
    </w:p>
    <w:p>
      <w:pPr>
        <w:pStyle w:val="Heading2"/>
        <w:spacing w:after="140" w:before="340"/>
      </w:pPr>
      <w:r>
        <w:rPr>
          <w:b/>
          <w:bCs/>
          <w:color w:val="1B4F72"/>
          <w:sz w:val="28"/>
          <w:szCs w:val="28"/>
        </w:rPr>
        <w:t xml:space="preserve">Kesalahan Umum dalam Memilih Saham Syariah</w:t>
      </w:r>
    </w:p>
    <w:p>
      <w:pPr>
        <w:pStyle w:val="ListParagraph"/>
        <w:numPr>
          <w:ilvl w:val="0"/>
          <w:numId w:val="3"/>
        </w:numPr>
        <w:spacing w:after="60" w:before="40"/>
      </w:pPr>
      <w:r>
        <w:rPr>
          <w:b/>
          <w:bCs/>
          <w:color w:val="000000"/>
          <w:sz w:val="22"/>
          <w:szCs w:val="22"/>
        </w:rPr>
        <w:t xml:space="preserve">Hanya melihat daftar JII tanpa analisis lebih lanjut </w:t>
      </w:r>
      <w:r>
        <w:rPr>
          <w:sz w:val="22"/>
          <w:szCs w:val="22"/>
        </w:rPr>
        <w:t xml:space="preserve">— daftar adalah syarat awal, bukan rekomendasi beli</w:t>
      </w:r>
    </w:p>
    <w:p>
      <w:pPr>
        <w:pStyle w:val="ListParagraph"/>
        <w:numPr>
          <w:ilvl w:val="0"/>
          <w:numId w:val="3"/>
        </w:numPr>
        <w:spacing w:after="60" w:before="40"/>
      </w:pPr>
      <w:r>
        <w:rPr>
          <w:b/>
          <w:bCs/>
          <w:color w:val="000000"/>
          <w:sz w:val="22"/>
          <w:szCs w:val="22"/>
        </w:rPr>
        <w:t xml:space="preserve">Tidak mengikuti revisi DES </w:t>
      </w:r>
      <w:r>
        <w:rPr>
          <w:sz w:val="22"/>
          <w:szCs w:val="22"/>
        </w:rPr>
        <w:t xml:space="preserve">— saham bisa keluar dari daftar syariah; posisi yang sudah ada perlu dievaluasi ulang</w:t>
      </w:r>
    </w:p>
    <w:p>
      <w:pPr>
        <w:pStyle w:val="ListParagraph"/>
        <w:numPr>
          <w:ilvl w:val="0"/>
          <w:numId w:val="3"/>
        </w:numPr>
        <w:spacing w:after="60" w:before="40"/>
      </w:pPr>
      <w:r>
        <w:rPr>
          <w:b/>
          <w:bCs/>
          <w:color w:val="000000"/>
          <w:sz w:val="22"/>
          <w:szCs w:val="22"/>
        </w:rPr>
        <w:t xml:space="preserve">Menyamakan saham syariah dengan saham aman </w:t>
      </w:r>
      <w:r>
        <w:rPr>
          <w:sz w:val="22"/>
          <w:szCs w:val="22"/>
        </w:rPr>
        <w:t xml:space="preserve">— halal tidak berarti bebas risiko pasar; harga tetap bisa turun</w:t>
      </w:r>
    </w:p>
    <w:p>
      <w:pPr>
        <w:pStyle w:val="ListParagraph"/>
        <w:numPr>
          <w:ilvl w:val="0"/>
          <w:numId w:val="3"/>
        </w:numPr>
        <w:spacing w:after="60" w:before="40"/>
      </w:pPr>
      <w:r>
        <w:rPr>
          <w:b/>
          <w:bCs/>
          <w:color w:val="000000"/>
          <w:sz w:val="22"/>
          <w:szCs w:val="22"/>
        </w:rPr>
        <w:t xml:space="preserve">Hanya investasi di JII30 </w:t>
      </w:r>
      <w:r>
        <w:rPr>
          <w:sz w:val="22"/>
          <w:szCs w:val="22"/>
        </w:rPr>
        <w:t xml:space="preserve">— terlalu terpusat di 30 saham besar; diversifikasi lebih baik dengan JII70 atau ISSI yang sudah terfilter</w:t>
      </w:r>
    </w:p>
    <w:p>
      <w:pPr>
        <w:pStyle w:val="ListParagraph"/>
        <w:numPr>
          <w:ilvl w:val="0"/>
          <w:numId w:val="3"/>
        </w:numPr>
        <w:spacing w:after="60" w:before="40"/>
      </w:pPr>
      <w:r>
        <w:rPr>
          <w:b/>
          <w:bCs/>
          <w:color w:val="000000"/>
          <w:sz w:val="22"/>
          <w:szCs w:val="22"/>
        </w:rPr>
        <w:t xml:space="preserve">Mengabaikan filter DJIMI untuk saham AS </w:t>
      </w:r>
      <w:r>
        <w:rPr>
          <w:sz w:val="22"/>
          <w:szCs w:val="22"/>
        </w:rPr>
        <w:t xml:space="preserve">— jika ingin saham syariah Wall Street, OJK tidak berlaku; gunakan standar DJIMI yang berbeda</w:t>
      </w:r>
    </w:p>
    <w:p>
      <w:pPr>
        <w:pStyle w:val="ListParagraph"/>
        <w:numPr>
          <w:ilvl w:val="0"/>
          <w:numId w:val="3"/>
        </w:numPr>
        <w:spacing w:after="60" w:before="40"/>
      </w:pPr>
      <w:r>
        <w:rPr>
          <w:b/>
          <w:bCs/>
          <w:color w:val="000000"/>
          <w:sz w:val="22"/>
          <w:szCs w:val="22"/>
        </w:rPr>
        <w:t xml:space="preserve">Tidak memisahkan keputusan halal dan keputusan beli </w:t>
      </w:r>
      <w:r>
        <w:rPr>
          <w:sz w:val="22"/>
          <w:szCs w:val="22"/>
        </w:rPr>
        <w:t xml:space="preserve">— saham halal yang dibeli di waktu dan harga yang salah tetap bisa merugikan</w:t>
      </w:r>
    </w:p>
    <w:p>
      <w:pPr>
        <w:pStyle w:val="ListParagraph"/>
        <w:numPr>
          <w:ilvl w:val="0"/>
          <w:numId w:val="3"/>
        </w:numPr>
        <w:spacing w:after="60" w:before="40"/>
      </w:pPr>
      <w:r>
        <w:rPr>
          <w:b/>
          <w:bCs/>
          <w:color w:val="000000"/>
          <w:sz w:val="22"/>
          <w:szCs w:val="22"/>
        </w:rPr>
        <w:t xml:space="preserve">Mengejar saham yang baru masuk daftar JII </w:t>
      </w:r>
      <w:r>
        <w:rPr>
          <w:sz w:val="22"/>
          <w:szCs w:val="22"/>
        </w:rPr>
        <w:t xml:space="preserve">— masuk daftar bukan sinyal teknikal; bisa saja baru masuk tapi harga sudah terlalu tinggi</w:t>
      </w:r>
    </w:p>
    <w:p>
      <w:pPr>
        <w:pBdr>
          <w:bottom w:val="single" w:color="AED6F1" w:sz="4" w:space="1"/>
        </w:pBdr>
        <w:spacing w:after="160" w:before="160"/>
      </w:pPr>
    </w:p>
    <w:p>
      <w:pPr>
        <w:pStyle w:val="Heading2"/>
        <w:spacing w:after="140" w:before="340"/>
      </w:pPr>
      <w:r>
        <w:rPr>
          <w:b/>
          <w:bCs/>
          <w:color w:val="1B4F72"/>
          <w:sz w:val="28"/>
          <w:szCs w:val="28"/>
        </w:rPr>
        <w:t xml:space="preserve">Kesimpulan</w:t>
      </w:r>
    </w:p>
    <w:p>
      <w:pPr>
        <w:spacing w:after="120" w:before="60"/>
      </w:pPr>
      <w:r>
        <w:rPr>
          <w:sz w:val="22"/>
          <w:szCs w:val="22"/>
        </w:rPr>
        <w:t xml:space="preserve">Cara pilih saham syariah terbaik tidak bisa berhenti di daftar JII. Daftar itu hanya menjawab satu pertanyaan: apakah saham ini halal? Tapi ada tiga pertanyaan lain yang sama pentingnya: apakah fundamentalnya kuat? Apakah momentumnya mendukung? Dan apakah sekarang waktu yang tepat untuk masuk?</w:t>
      </w:r>
    </w:p>
    <w:p>
      <w:pPr>
        <w:spacing w:after="120" w:before="60"/>
      </w:pPr>
      <w:r>
        <w:rPr>
          <w:sz w:val="22"/>
          <w:szCs w:val="22"/>
        </w:rPr>
        <w:t xml:space="preserve">Investor syariah yang disiplin menggabungkan empat lapis filter — kehalalan, fundamental, teknikal, dan timing — akan menemukan bahwa pilihan saham syariah terbaik bukan soal terbatasnya pilihan, tapi soal disiplin memilih yang benar-benar siap bergerak.</w:t>
      </w:r>
    </w:p>
    <w:p>
      <w:pPr>
        <w:spacing w:after="120" w:before="60"/>
      </w:pPr>
      <w:r>
        <w:rPr>
          <w:sz w:val="22"/>
          <w:szCs w:val="22"/>
        </w:rPr>
        <w:t xml:space="preserve">Dengan lebih dari 400 saham di ISSI dan 70 di JII70, universanya jauh lebih besar dari yang kebanyakan investor syariah kira. Masalahnya bukan kurangnya pilihan — tapi kurangnya kerangka kerja untuk memilih dengan benar.</w:t>
      </w:r>
    </w:p>
    <w:p>
      <w:pPr>
        <w:pBdr>
          <w:top w:val="single" w:color="2980B9" w:sz="6"/>
          <w:left w:val="single" w:color="2980B9" w:sz="20"/>
          <w:bottom w:val="single" w:color="2980B9" w:sz="6"/>
          <w:right w:val="single" w:color="2980B9" w:sz="6"/>
        </w:pBdr>
        <w:shd w:fill="D6EAF8" w:val="clear"/>
        <w:spacing w:after="200" w:before="200"/>
        <w:ind w:left="360" w:right="360"/>
      </w:pPr>
      <w:r>
        <w:rPr>
          <w:sz w:val="22"/>
          <w:szCs w:val="22"/>
        </w:rPr>
        <w:t xml:space="preserve">Untuk screening saham syariah IDX dan Wall Street secara otomatis — sudah terfilter JII70 dan DJIMI, dilengkapi skor teknikal 6 komponen dan fase Wyckoff — kunjungi </w:t>
      </w:r>
      <w:hyperlink w:history="1" r:id="rIdmvbd6xtsjfeb6-l9ejgil">
        <w:r>
          <w:rPr>
            <w:b/>
            <w:bCs/>
            <w:color w:val="2980B9"/>
            <w:sz w:val="22"/>
            <w:szCs w:val="22"/>
            <w:u w:val="single"/>
          </w:rPr>
          <w:t xml:space="preserve">Ultimate Smart Money Analyst (smartscreener.streamlit.app)</w:t>
        </w:r>
      </w:hyperlink>
      <w:r>
        <w:rPr>
          <w:sz w:val="22"/>
          <w:szCs w:val="22"/>
        </w:rPr>
        <w:t xml:space="preserve">, screener saham syariah berbasis AI.</w:t>
      </w:r>
    </w:p>
    <w:p>
      <w:pPr>
        <w:pBdr>
          <w:bottom w:val="single" w:color="AED6F1" w:sz="4" w:space="1"/>
        </w:pBdr>
        <w:spacing w:after="160" w:before="160"/>
      </w:pPr>
    </w:p>
    <w:p>
      <w:pPr>
        <w:pStyle w:val="Heading2"/>
        <w:spacing w:after="140" w:before="340"/>
      </w:pPr>
      <w:r>
        <w:rPr>
          <w:b/>
          <w:bCs/>
          <w:color w:val="1B4F72"/>
          <w:sz w:val="28"/>
          <w:szCs w:val="28"/>
        </w:rPr>
        <w:t xml:space="preserve">FAQ: Cara Pilih Saham Syariah</w:t>
      </w:r>
    </w:p>
    <w:p>
      <w:pPr>
        <w:spacing w:before="80"/>
      </w:pPr>
    </w:p>
    <w:p>
      <w:pPr>
        <w:spacing w:after="40" w:before="80"/>
      </w:pPr>
      <w:r>
        <w:rPr>
          <w:b/>
          <w:bCs/>
          <w:color w:val="2980B9"/>
          <w:sz w:val="22"/>
          <w:szCs w:val="22"/>
        </w:rPr>
        <w:t xml:space="preserve">Q: Apakah saham syariah returnnya lebih rendah dari saham konvensional?</w:t>
      </w:r>
    </w:p>
    <w:p>
      <w:pPr>
        <w:spacing w:after="120" w:before="60"/>
      </w:pPr>
      <w:r>
        <w:rPr>
          <w:sz w:val="22"/>
          <w:szCs w:val="22"/>
        </w:rPr>
        <w:t xml:space="preserve">A: Tidak secara statistik. Penelitian menunjukkan bahwa indeks saham syariah (JII70, DJIMI) memiliki performa jangka panjang yang kompetitif dengan indeks konvensional, terutama karena filter syariah secara tidak langsung menyaring perusahaan dengan leverage berlebihan — yang justru lebih rentan saat krisis keuangan seperti 2008.</w:t>
      </w:r>
    </w:p>
    <w:p>
      <w:pPr>
        <w:spacing w:after="40" w:before="160"/>
      </w:pPr>
      <w:r>
        <w:rPr>
          <w:b/>
          <w:bCs/>
          <w:color w:val="2980B9"/>
          <w:sz w:val="22"/>
          <w:szCs w:val="22"/>
        </w:rPr>
        <w:t xml:space="preserve">Q: Bagaimana dengan saham bank syariah seperti BRIS atau BTPS — apakah masuk kategori saham syariah?</w:t>
      </w:r>
    </w:p>
    <w:p>
      <w:pPr>
        <w:spacing w:after="120" w:before="60"/>
      </w:pPr>
      <w:r>
        <w:rPr>
          <w:sz w:val="22"/>
          <w:szCs w:val="22"/>
        </w:rPr>
        <w:t xml:space="preserve">A: Ya, bank yang beroperasi sepenuhnya dengan prinsip syariah (seperti Bank Syariah Indonesia/BRIS dan Bank BTPN Syariah/BTPS) masuk dalam daftar ISSI dan JII70 karena bisnisnya tidak berbasis bunga konvensional. Berbeda dengan bank konvensional (BBCA, BRI, BNI) yang otomatis gugur karena bisnis intinya berbasis riba.</w:t>
      </w:r>
    </w:p>
    <w:p>
      <w:pPr>
        <w:spacing w:after="40" w:before="160"/>
      </w:pPr>
      <w:r>
        <w:rPr>
          <w:b/>
          <w:bCs/>
          <w:color w:val="2980B9"/>
          <w:sz w:val="22"/>
          <w:szCs w:val="22"/>
        </w:rPr>
        <w:t xml:space="preserve">Q: Seberapa sering saya perlu cek apakah saham yang saya pegang masih masuk daftar syariah?</w:t>
      </w:r>
    </w:p>
    <w:p>
      <w:pPr>
        <w:spacing w:after="120" w:before="60"/>
      </w:pPr>
      <w:r>
        <w:rPr>
          <w:sz w:val="22"/>
          <w:szCs w:val="22"/>
        </w:rPr>
        <w:t xml:space="preserve">A: Minimal dua kali setahun, yaitu setelah pengumuman revisi DES oleh OJK — biasanya diumumkan setiap Mei dan November. Pantau juga berita korporasi; perubahan bisnis besar (merger, ekspansi ke sektor non-halal) bisa mempengaruhi status syariah sebuah saham meski revisi resmi belum dilakukan.</w:t>
      </w:r>
    </w:p>
    <w:p>
      <w:pPr>
        <w:pBdr>
          <w:bottom w:val="single" w:color="AED6F1" w:sz="4" w:space="1"/>
        </w:pBdr>
        <w:spacing w:after="160" w:before="160"/>
      </w:pPr>
    </w:p>
    <w:p>
      <w:pPr>
        <w:spacing w:before="60"/>
        <w:jc w:val="center"/>
      </w:pPr>
      <w:r>
        <w:rPr>
          <w:color w:val="666666"/>
          <w:sz w:val="18"/>
          <w:szCs w:val="18"/>
        </w:rPr>
        <w:t xml:space="preserve">Artikel SEO | versokit.com  |  Seri: Saham Syariah — Fondasi  |  App: </w:t>
      </w:r>
      <w:hyperlink w:history="1" r:id="rIdiimstjznuuuyamiy5uzl8">
        <w:r>
          <w:rPr>
            <w:color w:val="2980B9"/>
            <w:sz w:val="18"/>
            <w:szCs w:val="18"/>
            <w:u w:val="single"/>
          </w:rPr>
          <w:t xml:space="preserve">https://smartscreener.streamlit.app</w:t>
        </w:r>
      </w:hyperlink>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20" w:before="0"/>
      <w:outlineLvl w:val="0"/>
    </w:pPr>
    <w:rPr>
      <w:rFonts w:ascii="Arial" w:cs="Arial" w:eastAsia="Arial" w:hAnsi="Arial"/>
      <w:b/>
      <w:bCs/>
      <w:color w:val="1B4F72"/>
      <w:sz w:val="38"/>
      <w:szCs w:val="38"/>
    </w:rPr>
  </w:style>
  <w:style w:type="paragraph" w:styleId="Heading2">
    <w:name w:val="Heading 2"/>
    <w:basedOn w:val="Normal"/>
    <w:next w:val="Normal"/>
    <w:pPr>
      <w:spacing w:after="140" w:before="340"/>
      <w:outlineLvl w:val="1"/>
    </w:pPr>
    <w:rPr>
      <w:rFonts w:ascii="Arial" w:cs="Arial" w:eastAsia="Arial" w:hAnsi="Arial"/>
      <w:b/>
      <w:bCs/>
      <w:color w:val="1B4F72"/>
      <w:sz w:val="28"/>
      <w:szCs w:val="28"/>
    </w:rPr>
  </w:style>
  <w:style w:type="paragraph" w:styleId="Heading3">
    <w:name w:val="Heading 3"/>
    <w:basedOn w:val="Normal"/>
    <w:next w:val="Normal"/>
    <w:pPr>
      <w:spacing w:after="80" w:before="240"/>
      <w:outlineLvl w:val="2"/>
    </w:pPr>
    <w:rPr>
      <w:rFonts w:ascii="Arial" w:cs="Arial" w:eastAsia="Arial" w:hAnsi="Arial"/>
      <w:b/>
      <w:bCs/>
      <w:color w:val="2980B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mvbd6xtsjfeb6-l9ejgil" Type="http://schemas.openxmlformats.org/officeDocument/2006/relationships/hyperlink" Target="https://smartscreener.streamlit.app" TargetMode="External"/><Relationship Id="rIdiimstjznuuuyamiy5uzl8" Type="http://schemas.openxmlformats.org/officeDocument/2006/relationships/hyperlink" Target="https://smartscreener.streamlit.app"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2026-06-03T08:56:09.318Z</dcterms:created>
  <dcterms:modified xsi:type="dcterms:W3CDTF">2026-06-03T08:56:09.330Z</dcterms:modified>
</cp:coreProperties>
</file>

<file path=docProps/custom.xml><?xml version="1.0" encoding="utf-8"?>
<Properties xmlns="http://schemas.openxmlformats.org/officeDocument/2006/custom-properties" xmlns:vt="http://schemas.openxmlformats.org/officeDocument/2006/docPropsVTypes"/>
</file>