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b/>
          <w:bCs/>
          <w:color w:val="1B4F72"/>
          <w:sz w:val="38"/>
          <w:szCs w:val="38"/>
        </w:rPr>
        <w:t xml:space="preserve">Top-Down Analysis: Kenapa Analisis Makro Harus Dilakukan Sebelum Pilih Saham</w:t>
      </w:r>
    </w:p>
    <w:p>
      <w:pPr>
        <w:spacing w:after="200" w:before="0"/>
      </w:pPr>
      <w:r>
        <w:rPr>
          <w:b/>
          <w:bCs/>
          <w:color w:val="666666"/>
          <w:sz w:val="18"/>
          <w:szCs w:val="18"/>
        </w:rPr>
        <w:t xml:space="preserve">Keyword: </w:t>
      </w:r>
      <w:r>
        <w:rPr>
          <w:color w:val="666666"/>
          <w:sz w:val="18"/>
          <w:szCs w:val="18"/>
        </w:rPr>
        <w:t xml:space="preserve">analisis top-down saham, makro ekonomi saham  |  Cluster: Makro &amp; Rotasi Sektor  |  Target: Investor menengah</w:t>
      </w:r>
    </w:p>
    <w:p>
      <w:pPr>
        <w:pBdr>
          <w:bottom w:val="single" w:color="AED6F1" w:sz="4" w:space="1"/>
        </w:pBdr>
        <w:spacing w:after="160" w:before="160"/>
      </w:pPr>
    </w:p>
    <w:p>
      <w:pPr>
        <w:spacing w:after="120" w:before="60"/>
      </w:pPr>
      <w:r>
        <w:rPr>
          <w:sz w:val="22"/>
          <w:szCs w:val="22"/>
        </w:rPr>
        <w:t xml:space="preserve">Kamu sudah melakukan analisis teknikal yang teliti — RSI bagus, CMF positif, skor screener STRONG BUY. Lalu tiba-tiba Fed menaikkan suku bunga agresif, IHSG turun 8% dalam dua minggu, dan hampir semua saham ikut turun termasuk yang kamu pilih dengan cermat itu.</w:t>
      </w:r>
    </w:p>
    <w:p>
      <w:pPr>
        <w:spacing w:after="120" w:before="60"/>
      </w:pPr>
      <w:r>
        <w:rPr>
          <w:sz w:val="22"/>
          <w:szCs w:val="22"/>
        </w:rPr>
        <w:t xml:space="preserve">Ini bukan kegagalan analisis teknikal — ini kegagalan urutan analisis. Analisis top-down mengajarkan bahwa pemilihan saham individual seharusnya menjadi langkah terakhir, bukan pertama. Kondisi makro dan sektor adalah konteks yang menentukan apakah angin sedang berpihak atau melawan.</w:t>
      </w:r>
    </w:p>
    <w:p>
      <w:pPr>
        <w:spacing w:after="120" w:before="60"/>
      </w:pPr>
      <w:r>
        <w:rPr>
          <w:sz w:val="22"/>
          <w:szCs w:val="22"/>
        </w:rPr>
        <w:t xml:space="preserve">Artikel ini menjelaskan framework analisis top-down untuk saham IDX: dari membaca kondisi makro, mengidentifikasi sektor yang sedang diuntungkan, hingga memilih saham individual terbaik di sektor tersebut.</w:t>
      </w:r>
    </w:p>
    <w:p>
      <w:pPr>
        <w:pBdr>
          <w:bottom w:val="single" w:color="AED6F1" w:sz="4" w:space="1"/>
        </w:pBdr>
        <w:spacing w:after="160" w:before="160"/>
      </w:pPr>
    </w:p>
    <w:p>
      <w:pPr>
        <w:pStyle w:val="Heading2"/>
        <w:spacing w:after="140" w:before="340"/>
      </w:pPr>
      <w:r>
        <w:rPr>
          <w:b/>
          <w:bCs/>
          <w:color w:val="1B4F72"/>
          <w:sz w:val="28"/>
          <w:szCs w:val="28"/>
        </w:rPr>
        <w:t xml:space="preserve">Apa Itu Analisis Top-Down?</w:t>
      </w:r>
    </w:p>
    <w:p>
      <w:pPr>
        <w:spacing w:after="120" w:before="60"/>
      </w:pPr>
      <w:r>
        <w:rPr>
          <w:sz w:val="22"/>
          <w:szCs w:val="22"/>
        </w:rPr>
        <w:t xml:space="preserve">Top-down analysis adalah pendekatan investasi yang dimulai dari gambaran besar (makroekonomi global dan domestik) kemudian menyempitkan fokus ke tingkat sektor, baru terakhir ke level saham individual.</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26"/>
        <w:gridCol w:w="3000"/>
        <w:gridCol w:w="3000"/>
      </w:tblGrid>
      <w:tr>
        <w:trPr>
          <w:tblHeader/>
        </w:trPr>
        <w:tc>
          <w:tcPr>
            <w:tcW w:type="dxa" w:w="6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w:t>
            </w:r>
          </w:p>
        </w:tc>
        <w:tc>
          <w:tcPr>
            <w:tcW w:type="dxa" w:w="2426"/>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Level Analisis</w:t>
            </w:r>
          </w:p>
        </w:tc>
        <w:tc>
          <w:tcPr>
            <w:tcW w:type="dxa" w:w="30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Yang Dianalisis</w:t>
            </w:r>
          </w:p>
        </w:tc>
        <w:tc>
          <w:tcPr>
            <w:tcW w:type="dxa" w:w="30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Pertanyaan Kunci</w:t>
            </w:r>
          </w:p>
        </w:tc>
      </w:tr>
      <w:tr>
        <w:tc>
          <w:tcPr>
            <w:tcW w:type="dxa" w:w="6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bCs/>
                <w:color w:val="222222"/>
                <w:sz w:val="20"/>
                <w:szCs w:val="20"/>
              </w:rPr>
              <w:t xml:space="preserve">1</w:t>
            </w:r>
          </w:p>
        </w:tc>
        <w:tc>
          <w:tcPr>
            <w:tcW w:type="dxa" w:w="2426"/>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bCs/>
                <w:color w:val="1B4F72"/>
                <w:sz w:val="20"/>
                <w:szCs w:val="20"/>
              </w:rPr>
              <w:t xml:space="preserve">Makro Global</w:t>
            </w:r>
          </w:p>
        </w:tc>
        <w:tc>
          <w:tcPr>
            <w:tcW w:type="dxa" w:w="30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Fed rate, dollar index, harga komoditas global, geopolitik</w:t>
            </w:r>
          </w:p>
        </w:tc>
        <w:tc>
          <w:tcPr>
            <w:tcW w:type="dxa" w:w="30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Apakah kondisi global mendukung risk-on atau risk-off?</w:t>
            </w:r>
          </w:p>
        </w:tc>
      </w:tr>
      <w:tr>
        <w:tc>
          <w:tcPr>
            <w:tcW w:type="dxa" w:w="6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bCs/>
                <w:color w:val="222222"/>
                <w:sz w:val="20"/>
                <w:szCs w:val="20"/>
              </w:rPr>
              <w:t xml:space="preserve">2</w:t>
            </w:r>
          </w:p>
        </w:tc>
        <w:tc>
          <w:tcPr>
            <w:tcW w:type="dxa" w:w="2426"/>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bCs/>
                <w:color w:val="1B4F72"/>
                <w:sz w:val="20"/>
                <w:szCs w:val="20"/>
              </w:rPr>
              <w:t xml:space="preserve">Makro Domestik</w:t>
            </w:r>
          </w:p>
        </w:tc>
        <w:tc>
          <w:tcPr>
            <w:tcW w:type="dxa" w:w="30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BI rate, inflasi, kurs IDR/USD, pertumbuhan GDP, kebijakan fiskal</w:t>
            </w:r>
          </w:p>
        </w:tc>
        <w:tc>
          <w:tcPr>
            <w:tcW w:type="dxa" w:w="30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Apakah ekonomi Indonesia sedang ekspansi atau kontraksi?</w:t>
            </w:r>
          </w:p>
        </w:tc>
      </w:tr>
      <w:tr>
        <w:tc>
          <w:tcPr>
            <w:tcW w:type="dxa" w:w="6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bCs/>
                <w:color w:val="222222"/>
                <w:sz w:val="20"/>
                <w:szCs w:val="20"/>
              </w:rPr>
              <w:t xml:space="preserve">3</w:t>
            </w:r>
          </w:p>
        </w:tc>
        <w:tc>
          <w:tcPr>
            <w:tcW w:type="dxa" w:w="2426"/>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bCs/>
                <w:color w:val="2980B9"/>
                <w:sz w:val="20"/>
                <w:szCs w:val="20"/>
              </w:rPr>
              <w:t xml:space="preserve">Rotasi Sektor</w:t>
            </w:r>
          </w:p>
        </w:tc>
        <w:tc>
          <w:tcPr>
            <w:tcW w:type="dxa" w:w="30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Return sektoral 1–3 bulan, jumlah saham BUY per sektor, momentum sektor</w:t>
            </w:r>
          </w:p>
        </w:tc>
        <w:tc>
          <w:tcPr>
            <w:tcW w:type="dxa" w:w="30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Sektor mana yang sedang leading dan lagging?</w:t>
            </w:r>
          </w:p>
        </w:tc>
      </w:tr>
      <w:tr>
        <w:tc>
          <w:tcPr>
            <w:tcW w:type="dxa" w:w="6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bCs/>
                <w:color w:val="222222"/>
                <w:sz w:val="20"/>
                <w:szCs w:val="20"/>
              </w:rPr>
              <w:t xml:space="preserve">4</w:t>
            </w:r>
          </w:p>
        </w:tc>
        <w:tc>
          <w:tcPr>
            <w:tcW w:type="dxa" w:w="2426"/>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bCs/>
                <w:color w:val="1E8449"/>
                <w:sz w:val="20"/>
                <w:szCs w:val="20"/>
              </w:rPr>
              <w:t xml:space="preserve">Pemilihan Saham</w:t>
            </w:r>
          </w:p>
        </w:tc>
        <w:tc>
          <w:tcPr>
            <w:tcW w:type="dxa" w:w="30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Skor teknikal, fase Wyckoff, CMF, fundamental (F-Score)</w:t>
            </w:r>
          </w:p>
        </w:tc>
        <w:tc>
          <w:tcPr>
            <w:tcW w:type="dxa" w:w="30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Saham mana di sektor terbaik yang paling siap bergerak?</w:t>
            </w:r>
          </w:p>
        </w:tc>
      </w:tr>
    </w:tbl>
    <w:p>
      <w:pPr>
        <w:spacing w:before="160"/>
      </w:pPr>
    </w:p>
    <w:p>
      <w:pPr>
        <w:pBdr>
          <w:left w:val="single" w:color="1B4F72" w:sz="20"/>
        </w:pBdr>
        <w:shd w:fill="D6EAF8" w:val="clear"/>
        <w:spacing w:after="120" w:before="120"/>
        <w:ind w:left="360"/>
      </w:pPr>
      <w:r>
        <w:rPr>
          <w:b/>
          <w:bCs/>
          <w:color w:val="1B4F72"/>
          <w:sz w:val="22"/>
          <w:szCs w:val="22"/>
        </w:rPr>
        <w:t xml:space="preserve">Prinsip utama: </w:t>
      </w:r>
      <w:r>
        <w:rPr>
          <w:color w:val="333333"/>
          <w:sz w:val="22"/>
          <w:szCs w:val="22"/>
        </w:rPr>
        <w:t xml:space="preserve">Saham terbaik di sektor yang salah masih akan underperform. Saham biasa di sektor yang tepat sering outperform. Pilih medan perang sebelum pilih prajurit.</w:t>
      </w:r>
    </w:p>
    <w:p>
      <w:pPr>
        <w:pBdr>
          <w:bottom w:val="single" w:color="AED6F1" w:sz="4" w:space="1"/>
        </w:pBdr>
        <w:spacing w:after="160" w:before="160"/>
      </w:pPr>
    </w:p>
    <w:p>
      <w:pPr>
        <w:pStyle w:val="Heading2"/>
        <w:spacing w:after="140" w:before="340"/>
      </w:pPr>
      <w:r>
        <w:rPr>
          <w:b/>
          <w:bCs/>
          <w:color w:val="1B4F72"/>
          <w:sz w:val="28"/>
          <w:szCs w:val="28"/>
        </w:rPr>
        <w:t xml:space="preserve">Level 1 &amp; 2: Membaca Kondisi Makro</w:t>
      </w:r>
    </w:p>
    <w:p>
      <w:pPr>
        <w:pStyle w:val="Heading3"/>
        <w:spacing w:after="80" w:before="240"/>
      </w:pPr>
      <w:r>
        <w:rPr>
          <w:b/>
          <w:bCs/>
          <w:color w:val="2980B9"/>
          <w:sz w:val="24"/>
          <w:szCs w:val="24"/>
        </w:rPr>
        <w:t xml:space="preserve">Indikator Makro Global yang Paling Berpengaruh ke IDX</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13"/>
        <w:gridCol w:w="4413"/>
      </w:tblGrid>
      <w:tr>
        <w:trPr>
          <w:tblHeader/>
        </w:trPr>
        <w:tc>
          <w:tcPr>
            <w:tcW w:type="dxa" w:w="22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Indikator</w:t>
            </w:r>
          </w:p>
        </w:tc>
        <w:tc>
          <w:tcPr>
            <w:tcW w:type="dxa" w:w="24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Kondisi Bullish IDX</w:t>
            </w:r>
          </w:p>
        </w:tc>
        <w:tc>
          <w:tcPr>
            <w:tcW w:type="dxa" w:w="44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Sektor yang Terpengaruh</w:t>
            </w:r>
          </w:p>
        </w:tc>
      </w:tr>
      <w:tr>
        <w:tc>
          <w:tcPr>
            <w:tcW w:type="dxa" w:w="22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Fed Funds Rate</w:t>
            </w:r>
          </w:p>
        </w:tc>
        <w:tc>
          <w:tcPr>
            <w:tcW w:type="dxa" w:w="2413"/>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Turun / pivot dovish</w:t>
            </w:r>
          </w:p>
        </w:tc>
        <w:tc>
          <w:tcPr>
            <w:tcW w:type="dxa" w:w="4413"/>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Semua sektor, khususnya properti, teknologi, dan pertumbuhan</w:t>
            </w:r>
          </w:p>
        </w:tc>
      </w:tr>
      <w:tr>
        <w:tc>
          <w:tcPr>
            <w:tcW w:type="dxa" w:w="22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DXY (Dollar Index)</w:t>
            </w:r>
          </w:p>
        </w:tc>
        <w:tc>
          <w:tcPr>
            <w:tcW w:type="dxa" w:w="2413"/>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Turun (IDR menguat)</w:t>
            </w:r>
          </w:p>
        </w:tc>
        <w:tc>
          <w:tcPr>
            <w:tcW w:type="dxa" w:w="4413"/>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Konsumer import, properti; negatif untuk eksportir komoditas</w:t>
            </w:r>
          </w:p>
        </w:tc>
      </w:tr>
      <w:tr>
        <w:tc>
          <w:tcPr>
            <w:tcW w:type="dxa" w:w="22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Harga Komoditas (coal, CPO, nikel)</w:t>
            </w:r>
          </w:p>
        </w:tc>
        <w:tc>
          <w:tcPr>
            <w:tcW w:type="dxa" w:w="2413"/>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Naik</w:t>
            </w:r>
          </w:p>
        </w:tc>
        <w:tc>
          <w:tcPr>
            <w:tcW w:type="dxa" w:w="4413"/>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Langsung: Energi (ADRO, PTBA), Perkebunan (AALI, LSIP)</w:t>
            </w:r>
          </w:p>
        </w:tc>
      </w:tr>
      <w:tr>
        <w:tc>
          <w:tcPr>
            <w:tcW w:type="dxa" w:w="22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Risk Appetite Global (VIX turun)</w:t>
            </w:r>
          </w:p>
        </w:tc>
        <w:tc>
          <w:tcPr>
            <w:tcW w:type="dxa" w:w="2413"/>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VIX &lt; 20</w:t>
            </w:r>
          </w:p>
        </w:tc>
        <w:tc>
          <w:tcPr>
            <w:tcW w:type="dxa" w:w="4413"/>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Semua sektor — kapital asing masuk ke emerging market</w:t>
            </w:r>
          </w:p>
        </w:tc>
      </w:tr>
    </w:tbl>
    <w:p>
      <w:pPr>
        <w:spacing w:before="160"/>
      </w:pPr>
    </w:p>
    <w:p>
      <w:pPr>
        <w:pStyle w:val="Heading3"/>
        <w:spacing w:after="80" w:before="240"/>
      </w:pPr>
      <w:r>
        <w:rPr>
          <w:b/>
          <w:bCs/>
          <w:color w:val="2980B9"/>
          <w:sz w:val="24"/>
          <w:szCs w:val="24"/>
        </w:rPr>
        <w:t xml:space="preserve">Indikator Makro Domestik IDX</w:t>
      </w:r>
    </w:p>
    <w:p>
      <w:pPr>
        <w:pStyle w:val="ListParagraph"/>
        <w:numPr>
          <w:ilvl w:val="0"/>
          <w:numId w:val="2"/>
        </w:numPr>
        <w:spacing w:after="60" w:before="40"/>
      </w:pPr>
      <w:r>
        <w:rPr>
          <w:b/>
          <w:bCs/>
          <w:color w:val="000000"/>
          <w:sz w:val="22"/>
          <w:szCs w:val="22"/>
        </w:rPr>
        <w:t xml:space="preserve">BI Rate turun: </w:t>
      </w:r>
      <w:r>
        <w:rPr>
          <w:sz w:val="22"/>
          <w:szCs w:val="22"/>
        </w:rPr>
        <w:t xml:space="preserve">bullish untuk sektor perbankan syariah, properti, dan konsumer (kredit lebih murah)</w:t>
      </w:r>
    </w:p>
    <w:p>
      <w:pPr>
        <w:pStyle w:val="ListParagraph"/>
        <w:numPr>
          <w:ilvl w:val="0"/>
          <w:numId w:val="2"/>
        </w:numPr>
        <w:spacing w:after="60" w:before="40"/>
      </w:pPr>
      <w:r>
        <w:rPr>
          <w:b/>
          <w:bCs/>
          <w:color w:val="000000"/>
          <w:sz w:val="22"/>
          <w:szCs w:val="22"/>
        </w:rPr>
        <w:t xml:space="preserve">Inflasi terkendali (&lt;4%): </w:t>
      </w:r>
      <w:r>
        <w:rPr>
          <w:sz w:val="22"/>
          <w:szCs w:val="22"/>
        </w:rPr>
        <w:t xml:space="preserve">mendukung daya beli konsumer dan margin perusahaan konsumer</w:t>
      </w:r>
    </w:p>
    <w:p>
      <w:pPr>
        <w:pStyle w:val="ListParagraph"/>
        <w:numPr>
          <w:ilvl w:val="0"/>
          <w:numId w:val="2"/>
        </w:numPr>
        <w:spacing w:after="60" w:before="40"/>
      </w:pPr>
      <w:r>
        <w:rPr>
          <w:b/>
          <w:bCs/>
          <w:color w:val="000000"/>
          <w:sz w:val="22"/>
          <w:szCs w:val="22"/>
        </w:rPr>
        <w:t xml:space="preserve">Current account surplus: </w:t>
      </w:r>
      <w:r>
        <w:rPr>
          <w:sz w:val="22"/>
          <w:szCs w:val="22"/>
        </w:rPr>
        <w:t xml:space="preserve">IDR cenderung menguat, baik untuk importer dan saham berbasis permintaan domestik</w:t>
      </w:r>
    </w:p>
    <w:p>
      <w:pPr>
        <w:pStyle w:val="ListParagraph"/>
        <w:numPr>
          <w:ilvl w:val="0"/>
          <w:numId w:val="2"/>
        </w:numPr>
        <w:spacing w:after="60" w:before="40"/>
      </w:pPr>
      <w:r>
        <w:rPr>
          <w:b/>
          <w:bCs/>
          <w:color w:val="000000"/>
          <w:sz w:val="22"/>
          <w:szCs w:val="22"/>
        </w:rPr>
        <w:t xml:space="preserve">Belanja infrastruktur pemerintah naik: </w:t>
      </w:r>
      <w:r>
        <w:rPr>
          <w:sz w:val="22"/>
          <w:szCs w:val="22"/>
        </w:rPr>
        <w:t xml:space="preserve">konstruksi, semen, baja, dan material bangunan diuntungkan</w:t>
      </w:r>
    </w:p>
    <w:p>
      <w:pPr>
        <w:pBdr>
          <w:left w:val="single" w:color="666666" w:sz="20"/>
        </w:pBdr>
        <w:shd w:fill="F2F3F4" w:val="clear"/>
        <w:spacing w:after="120" w:before="120"/>
        <w:ind w:left="360"/>
      </w:pPr>
      <w:r>
        <w:rPr>
          <w:b/>
          <w:bCs/>
          <w:color w:val="666666"/>
          <w:sz w:val="22"/>
          <w:szCs w:val="22"/>
        </w:rPr>
        <w:t xml:space="preserve">[GAMBAR: Dashboard makro — heatmap sektor IDX 3 bulan terakhir dengan return sektoral]</w:t>
      </w:r>
    </w:p>
    <w:p>
      <w:pPr>
        <w:pBdr>
          <w:bottom w:val="single" w:color="AED6F1" w:sz="4" w:space="1"/>
        </w:pBdr>
        <w:spacing w:after="160" w:before="160"/>
      </w:pPr>
    </w:p>
    <w:p>
      <w:pPr>
        <w:pStyle w:val="Heading2"/>
        <w:spacing w:after="140" w:before="340"/>
      </w:pPr>
      <w:r>
        <w:rPr>
          <w:b/>
          <w:bCs/>
          <w:color w:val="1B4F72"/>
          <w:sz w:val="28"/>
          <w:szCs w:val="28"/>
        </w:rPr>
        <w:t xml:space="preserve">Level 3: Rotasi Sektor — Jantung dari Top-Down Analysis</w:t>
      </w:r>
    </w:p>
    <w:p>
      <w:pPr>
        <w:spacing w:after="120" w:before="60"/>
      </w:pPr>
      <w:r>
        <w:rPr>
          <w:sz w:val="22"/>
          <w:szCs w:val="22"/>
        </w:rPr>
        <w:t xml:space="preserve">Rotasi sektor adalah pergerakan kapital dari satu sektor ke sektor lain seiring perubahan siklus ekonomi. Memahami di mana kapital bergerak memungkinkan kamu berada di sektor yang tepat pada waktu yang tepat.</w:t>
      </w:r>
    </w:p>
    <w:p>
      <w:pPr>
        <w:spacing w:before="80"/>
      </w:pPr>
    </w:p>
    <w:p>
      <w:pPr>
        <w:pStyle w:val="Heading3"/>
        <w:spacing w:after="80" w:before="240"/>
      </w:pPr>
      <w:r>
        <w:rPr>
          <w:b/>
          <w:bCs/>
          <w:color w:val="2980B9"/>
          <w:sz w:val="24"/>
          <w:szCs w:val="24"/>
        </w:rPr>
        <w:t xml:space="preserve">8 Sektor IDX dalam Siklus Rotasi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13"/>
        <w:gridCol w:w="4413"/>
      </w:tblGrid>
      <w:tr>
        <w:trPr>
          <w:tblHeader/>
        </w:trPr>
        <w:tc>
          <w:tcPr>
            <w:tcW w:type="dxa" w:w="22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Sektor</w:t>
            </w:r>
          </w:p>
        </w:tc>
        <w:tc>
          <w:tcPr>
            <w:tcW w:type="dxa" w:w="24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Fase Ekonomi Terbaik</w:t>
            </w:r>
          </w:p>
        </w:tc>
        <w:tc>
          <w:tcPr>
            <w:tcW w:type="dxa" w:w="44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Saham Representatif (Syariah)</w:t>
            </w:r>
          </w:p>
        </w:tc>
      </w:tr>
      <w:tr>
        <w:tc>
          <w:tcPr>
            <w:tcW w:type="dxa" w:w="2200"/>
            <w:tcBorders>
              <w:top w:val="single" w:color="AED6F1" w:sz="4"/>
              <w:left w:val="single" w:color="AED6F1" w:sz="4"/>
              <w:bottom w:val="single" w:color="AED6F1" w:sz="4"/>
              <w:right w:val="single" w:color="AED6F1" w:sz="4"/>
            </w:tcBorders>
            <w:shd w:fill="FEF5EC" w:val="clear"/>
            <w:tcMar>
              <w:top w:type="dxa" w:w="80"/>
              <w:left w:type="dxa" w:w="140"/>
              <w:bottom w:type="dxa" w:w="80"/>
              <w:right w:type="dxa" w:w="140"/>
            </w:tcMar>
          </w:tcPr>
          <w:p>
            <w:r>
              <w:rPr>
                <w:b w:val="false"/>
                <w:bCs w:val="false"/>
                <w:color w:val="222222"/>
                <w:sz w:val="20"/>
                <w:szCs w:val="20"/>
              </w:rPr>
              <w:t xml:space="preserve">Energi</w:t>
            </w:r>
          </w:p>
        </w:tc>
        <w:tc>
          <w:tcPr>
            <w:tcW w:type="dxa" w:w="2413"/>
            <w:tcBorders>
              <w:top w:val="single" w:color="AED6F1" w:sz="4"/>
              <w:left w:val="single" w:color="AED6F1" w:sz="4"/>
              <w:bottom w:val="single" w:color="AED6F1" w:sz="4"/>
              <w:right w:val="single" w:color="AED6F1" w:sz="4"/>
            </w:tcBorders>
            <w:shd w:fill="FEF5EC" w:val="clear"/>
            <w:tcMar>
              <w:top w:type="dxa" w:w="80"/>
              <w:left w:type="dxa" w:w="140"/>
              <w:bottom w:type="dxa" w:w="80"/>
              <w:right w:type="dxa" w:w="140"/>
            </w:tcMar>
          </w:tcPr>
          <w:p>
            <w:r>
              <w:rPr>
                <w:b w:val="false"/>
                <w:bCs w:val="false"/>
                <w:color w:val="222222"/>
                <w:sz w:val="20"/>
                <w:szCs w:val="20"/>
              </w:rPr>
              <w:t xml:space="preserve">Ekspansi / inflasi tinggi</w:t>
            </w:r>
          </w:p>
        </w:tc>
        <w:tc>
          <w:tcPr>
            <w:tcW w:type="dxa" w:w="4413"/>
            <w:tcBorders>
              <w:top w:val="single" w:color="AED6F1" w:sz="4"/>
              <w:left w:val="single" w:color="AED6F1" w:sz="4"/>
              <w:bottom w:val="single" w:color="AED6F1" w:sz="4"/>
              <w:right w:val="single" w:color="AED6F1" w:sz="4"/>
            </w:tcBorders>
            <w:shd w:fill="FEF5EC" w:val="clear"/>
            <w:tcMar>
              <w:top w:type="dxa" w:w="80"/>
              <w:left w:type="dxa" w:w="140"/>
              <w:bottom w:type="dxa" w:w="80"/>
              <w:right w:type="dxa" w:w="140"/>
            </w:tcMar>
          </w:tcPr>
          <w:p>
            <w:r>
              <w:rPr>
                <w:b w:val="false"/>
                <w:bCs w:val="false"/>
                <w:color w:val="222222"/>
                <w:sz w:val="20"/>
                <w:szCs w:val="20"/>
              </w:rPr>
              <w:t xml:space="preserve">ADRO, PTBA, ITMG</w:t>
            </w:r>
          </w:p>
        </w:tc>
      </w:tr>
      <w:tr>
        <w:tc>
          <w:tcPr>
            <w:tcW w:type="dxa" w:w="22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Barang Baku / Material</w:t>
            </w:r>
          </w:p>
        </w:tc>
        <w:tc>
          <w:tcPr>
            <w:tcW w:type="dxa" w:w="2413"/>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Ekspansi awal</w:t>
            </w:r>
          </w:p>
        </w:tc>
        <w:tc>
          <w:tcPr>
            <w:tcW w:type="dxa" w:w="4413"/>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ANTM, MDKA, INCO</w:t>
            </w:r>
          </w:p>
        </w:tc>
      </w:tr>
      <w:tr>
        <w:tc>
          <w:tcPr>
            <w:tcW w:type="dxa" w:w="22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Industri / Manufaktur</w:t>
            </w:r>
          </w:p>
        </w:tc>
        <w:tc>
          <w:tcPr>
            <w:tcW w:type="dxa" w:w="2413"/>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Ekspansi menengah</w:t>
            </w:r>
          </w:p>
        </w:tc>
        <w:tc>
          <w:tcPr>
            <w:tcW w:type="dxa" w:w="4413"/>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ASII, SCMA, SMGR</w:t>
            </w:r>
          </w:p>
        </w:tc>
      </w:tr>
      <w:tr>
        <w:tc>
          <w:tcPr>
            <w:tcW w:type="dxa" w:w="22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Teknologi</w:t>
            </w:r>
          </w:p>
        </w:tc>
        <w:tc>
          <w:tcPr>
            <w:tcW w:type="dxa" w:w="2413"/>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Ekspansi, suku bunga rendah</w:t>
            </w:r>
          </w:p>
        </w:tc>
        <w:tc>
          <w:tcPr>
            <w:tcW w:type="dxa" w:w="4413"/>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GOTO, BUKA, EMTK</w:t>
            </w:r>
          </w:p>
        </w:tc>
      </w:tr>
      <w:tr>
        <w:tc>
          <w:tcPr>
            <w:tcW w:type="dxa" w:w="22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Konsumer</w:t>
            </w:r>
          </w:p>
        </w:tc>
        <w:tc>
          <w:tcPr>
            <w:tcW w:type="dxa" w:w="2413"/>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Akhir ekspansi / kontraksi awal</w:t>
            </w:r>
          </w:p>
        </w:tc>
        <w:tc>
          <w:tcPr>
            <w:tcW w:type="dxa" w:w="4413"/>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ICBP, MYOR, KLBF</w:t>
            </w:r>
          </w:p>
        </w:tc>
      </w:tr>
      <w:tr>
        <w:tc>
          <w:tcPr>
            <w:tcW w:type="dxa" w:w="22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Kesehatan</w:t>
            </w:r>
          </w:p>
        </w:tc>
        <w:tc>
          <w:tcPr>
            <w:tcW w:type="dxa" w:w="2413"/>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Kontraksi — defensif</w:t>
            </w:r>
          </w:p>
        </w:tc>
        <w:tc>
          <w:tcPr>
            <w:tcW w:type="dxa" w:w="4413"/>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KLBF, SIDO, MIKA</w:t>
            </w:r>
          </w:p>
        </w:tc>
      </w:tr>
      <w:tr>
        <w:tc>
          <w:tcPr>
            <w:tcW w:type="dxa" w:w="2200"/>
            <w:tcBorders>
              <w:top w:val="single" w:color="AED6F1" w:sz="4"/>
              <w:left w:val="single" w:color="AED6F1" w:sz="4"/>
              <w:bottom w:val="single" w:color="AED6F1" w:sz="4"/>
              <w:right w:val="single" w:color="AED6F1" w:sz="4"/>
            </w:tcBorders>
            <w:shd w:fill="D1F2EB" w:val="clear"/>
            <w:tcMar>
              <w:top w:type="dxa" w:w="80"/>
              <w:left w:type="dxa" w:w="140"/>
              <w:bottom w:type="dxa" w:w="80"/>
              <w:right w:type="dxa" w:w="140"/>
            </w:tcMar>
          </w:tcPr>
          <w:p>
            <w:r>
              <w:rPr>
                <w:b w:val="false"/>
                <w:bCs w:val="false"/>
                <w:color w:val="222222"/>
                <w:sz w:val="20"/>
                <w:szCs w:val="20"/>
              </w:rPr>
              <w:t xml:space="preserve">Perkebunan</w:t>
            </w:r>
          </w:p>
        </w:tc>
        <w:tc>
          <w:tcPr>
            <w:tcW w:type="dxa" w:w="2413"/>
            <w:tcBorders>
              <w:top w:val="single" w:color="AED6F1" w:sz="4"/>
              <w:left w:val="single" w:color="AED6F1" w:sz="4"/>
              <w:bottom w:val="single" w:color="AED6F1" w:sz="4"/>
              <w:right w:val="single" w:color="AED6F1" w:sz="4"/>
            </w:tcBorders>
            <w:shd w:fill="D1F2EB" w:val="clear"/>
            <w:tcMar>
              <w:top w:type="dxa" w:w="80"/>
              <w:left w:type="dxa" w:w="140"/>
              <w:bottom w:type="dxa" w:w="80"/>
              <w:right w:type="dxa" w:w="140"/>
            </w:tcMar>
          </w:tcPr>
          <w:p>
            <w:r>
              <w:rPr>
                <w:b w:val="false"/>
                <w:bCs w:val="false"/>
                <w:color w:val="222222"/>
                <w:sz w:val="20"/>
                <w:szCs w:val="20"/>
              </w:rPr>
              <w:t xml:space="preserve">Inflasi komoditas tinggi</w:t>
            </w:r>
          </w:p>
        </w:tc>
        <w:tc>
          <w:tcPr>
            <w:tcW w:type="dxa" w:w="4413"/>
            <w:tcBorders>
              <w:top w:val="single" w:color="AED6F1" w:sz="4"/>
              <w:left w:val="single" w:color="AED6F1" w:sz="4"/>
              <w:bottom w:val="single" w:color="AED6F1" w:sz="4"/>
              <w:right w:val="single" w:color="AED6F1" w:sz="4"/>
            </w:tcBorders>
            <w:shd w:fill="D1F2EB" w:val="clear"/>
            <w:tcMar>
              <w:top w:type="dxa" w:w="80"/>
              <w:left w:type="dxa" w:w="140"/>
              <w:bottom w:type="dxa" w:w="80"/>
              <w:right w:type="dxa" w:w="140"/>
            </w:tcMar>
          </w:tcPr>
          <w:p>
            <w:r>
              <w:rPr>
                <w:b w:val="false"/>
                <w:bCs w:val="false"/>
                <w:color w:val="222222"/>
                <w:sz w:val="20"/>
                <w:szCs w:val="20"/>
              </w:rPr>
              <w:t xml:space="preserve">AALI, LSIP, BWPT</w:t>
            </w:r>
          </w:p>
        </w:tc>
      </w:tr>
      <w:tr>
        <w:tc>
          <w:tcPr>
            <w:tcW w:type="dxa" w:w="2200"/>
            <w:tcBorders>
              <w:top w:val="single" w:color="AED6F1" w:sz="4"/>
              <w:left w:val="single" w:color="AED6F1" w:sz="4"/>
              <w:bottom w:val="single" w:color="AED6F1" w:sz="4"/>
              <w:right w:val="single" w:color="AED6F1" w:sz="4"/>
            </w:tcBorders>
            <w:shd w:fill="F5EEF8" w:val="clear"/>
            <w:tcMar>
              <w:top w:type="dxa" w:w="80"/>
              <w:left w:type="dxa" w:w="140"/>
              <w:bottom w:type="dxa" w:w="80"/>
              <w:right w:type="dxa" w:w="140"/>
            </w:tcMar>
          </w:tcPr>
          <w:p>
            <w:r>
              <w:rPr>
                <w:b w:val="false"/>
                <w:bCs w:val="false"/>
                <w:color w:val="222222"/>
                <w:sz w:val="20"/>
                <w:szCs w:val="20"/>
              </w:rPr>
              <w:t xml:space="preserve">Infrastruktur &amp; Properti</w:t>
            </w:r>
          </w:p>
        </w:tc>
        <w:tc>
          <w:tcPr>
            <w:tcW w:type="dxa" w:w="2413"/>
            <w:tcBorders>
              <w:top w:val="single" w:color="AED6F1" w:sz="4"/>
              <w:left w:val="single" w:color="AED6F1" w:sz="4"/>
              <w:bottom w:val="single" w:color="AED6F1" w:sz="4"/>
              <w:right w:val="single" w:color="AED6F1" w:sz="4"/>
            </w:tcBorders>
            <w:shd w:fill="F5EEF8" w:val="clear"/>
            <w:tcMar>
              <w:top w:type="dxa" w:w="80"/>
              <w:left w:type="dxa" w:w="140"/>
              <w:bottom w:type="dxa" w:w="80"/>
              <w:right w:type="dxa" w:w="140"/>
            </w:tcMar>
          </w:tcPr>
          <w:p>
            <w:r>
              <w:rPr>
                <w:b w:val="false"/>
                <w:bCs w:val="false"/>
                <w:color w:val="222222"/>
                <w:sz w:val="20"/>
                <w:szCs w:val="20"/>
              </w:rPr>
              <w:t xml:space="preserve">Suku bunga turun, kebijakan fiskal ekspansif</w:t>
            </w:r>
          </w:p>
        </w:tc>
        <w:tc>
          <w:tcPr>
            <w:tcW w:type="dxa" w:w="4413"/>
            <w:tcBorders>
              <w:top w:val="single" w:color="AED6F1" w:sz="4"/>
              <w:left w:val="single" w:color="AED6F1" w:sz="4"/>
              <w:bottom w:val="single" w:color="AED6F1" w:sz="4"/>
              <w:right w:val="single" w:color="AED6F1" w:sz="4"/>
            </w:tcBorders>
            <w:shd w:fill="F5EEF8" w:val="clear"/>
            <w:tcMar>
              <w:top w:type="dxa" w:w="80"/>
              <w:left w:type="dxa" w:w="140"/>
              <w:bottom w:type="dxa" w:w="80"/>
              <w:right w:type="dxa" w:w="140"/>
            </w:tcMar>
          </w:tcPr>
          <w:p>
            <w:r>
              <w:rPr>
                <w:b w:val="false"/>
                <w:bCs w:val="false"/>
                <w:color w:val="222222"/>
                <w:sz w:val="20"/>
                <w:szCs w:val="20"/>
              </w:rPr>
              <w:t xml:space="preserve">TLKM, PGEO, JSMR</w:t>
            </w:r>
          </w:p>
        </w:tc>
      </w:tr>
    </w:tbl>
    <w:p>
      <w:pPr>
        <w:spacing w:before="160"/>
      </w:pPr>
    </w:p>
    <w:p>
      <w:pPr>
        <w:pStyle w:val="Heading3"/>
        <w:spacing w:after="80" w:before="240"/>
      </w:pPr>
      <w:r>
        <w:rPr>
          <w:b/>
          <w:bCs/>
          <w:color w:val="2980B9"/>
          <w:sz w:val="24"/>
          <w:szCs w:val="24"/>
        </w:rPr>
        <w:t xml:space="preserve">Metrik Rotasi Sektor di Screener</w:t>
      </w:r>
    </w:p>
    <w:p>
      <w:pPr>
        <w:spacing w:after="120" w:before="60"/>
      </w:pPr>
      <w:r>
        <w:rPr>
          <w:sz w:val="22"/>
          <w:szCs w:val="22"/>
        </w:rPr>
        <w:t xml:space="preserve">Screener memantau 8 sektor IDX menggunakan empat metrik sekaligus:</w:t>
      </w:r>
    </w:p>
    <w:p>
      <w:pPr>
        <w:pBdr>
          <w:top w:val="single" w:color="2980B9" w:sz="6"/>
          <w:left w:val="single" w:color="2980B9" w:sz="24"/>
          <w:bottom w:val="single" w:color="2980B9" w:sz="6"/>
          <w:right w:val="single" w:color="2980B9" w:sz="6"/>
        </w:pBdr>
        <w:shd w:fill="D6EAF8" w:val="clear"/>
        <w:spacing w:after="0" w:before="80"/>
        <w:ind w:left="360"/>
      </w:pPr>
      <w:r>
        <w:rPr>
          <w:rFonts w:ascii="Courier New" w:cs="Courier New" w:eastAsia="Courier New" w:hAnsi="Courier New"/>
          <w:b/>
          <w:bCs/>
          <w:color w:val="1B4F72"/>
          <w:sz w:val="21"/>
          <w:szCs w:val="21"/>
        </w:rPr>
        <w:t xml:space="preserve">Return 1 bulan (ret_1m)      : momentum jangka pendek sektor</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Return 3 bulan (ret_3m)      : konfirmasi tren sektoral</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Jumlah saham BUY (n_buy)     : lebar momentum di dalam sektor</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Rata-rata skor confluence    : kekuatan rata-rata sinyal teknikal sektor</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
      </w:r>
    </w:p>
    <w:p>
      <w:pPr>
        <w:pBdr>
          <w:top w:val="single" w:color="2980B9" w:sz="6"/>
          <w:left w:val="single" w:color="2980B9" w:sz="24"/>
          <w:bottom w:val="single" w:color="2980B9" w:sz="6"/>
          <w:right w:val="single" w:color="2980B9" w:sz="6"/>
        </w:pBdr>
        <w:shd w:fill="D6EAF8" w:val="clear"/>
        <w:spacing w:after="80" w:before="0"/>
        <w:ind w:left="360"/>
      </w:pPr>
      <w:r>
        <w:rPr>
          <w:rFonts w:ascii="Courier New" w:cs="Courier New" w:eastAsia="Courier New" w:hAnsi="Courier New"/>
          <w:b/>
          <w:bCs/>
          <w:color w:val="1B4F72"/>
          <w:sz w:val="21"/>
          <w:szCs w:val="21"/>
        </w:rPr>
        <w:t xml:space="preserve">Leading sector = sektor dengan kombinasi ret_1m + n_buy tertinggi</w:t>
      </w:r>
    </w:p>
    <w:p>
      <w:pPr>
        <w:spacing w:before="80"/>
      </w:pPr>
    </w:p>
    <w:p>
      <w:pPr>
        <w:pBdr>
          <w:left w:val="single" w:color="2980B9" w:sz="20"/>
        </w:pBdr>
        <w:shd w:fill="D6EAF8" w:val="clear"/>
        <w:spacing w:after="120" w:before="120"/>
        <w:ind w:left="360"/>
      </w:pPr>
      <w:r>
        <w:rPr>
          <w:b/>
          <w:bCs/>
          <w:color w:val="2980B9"/>
          <w:sz w:val="22"/>
          <w:szCs w:val="22"/>
        </w:rPr>
        <w:t xml:space="preserve">Cara baca: </w:t>
      </w:r>
      <w:r>
        <w:rPr>
          <w:color w:val="333333"/>
          <w:sz w:val="22"/>
          <w:szCs w:val="22"/>
        </w:rPr>
        <w:t xml:space="preserve">sektor dengan ret_1m positif DAN n_buy tinggi adalah leading sector — tempat terbaik untuk cari saham. Sektor dengan keduanya negatif/rendah sebaiknya dihindari meski ada saham individual yang terlihat menarik.</w:t>
      </w:r>
    </w:p>
    <w:p>
      <w:pPr>
        <w:pBdr>
          <w:bottom w:val="single" w:color="AED6F1" w:sz="4" w:space="1"/>
        </w:pBdr>
        <w:spacing w:after="160" w:before="160"/>
      </w:pPr>
    </w:p>
    <w:p>
      <w:pPr>
        <w:pStyle w:val="Heading2"/>
        <w:spacing w:after="140" w:before="340"/>
      </w:pPr>
      <w:r>
        <w:rPr>
          <w:b/>
          <w:bCs/>
          <w:color w:val="1B4F72"/>
          <w:sz w:val="28"/>
          <w:szCs w:val="28"/>
        </w:rPr>
        <w:t xml:space="preserve">Level 4: Dari Sektor ke Saham Individual</w:t>
      </w:r>
    </w:p>
    <w:p>
      <w:pPr>
        <w:spacing w:after="120" w:before="60"/>
      </w:pPr>
      <w:r>
        <w:rPr>
          <w:sz w:val="22"/>
          <w:szCs w:val="22"/>
        </w:rPr>
        <w:t xml:space="preserve">Setelah leading sector teridentifikasi, langkah terakhir adalah memilih saham terbaik di dalam sektor tersebut. Urutan filternya:</w:t>
      </w:r>
    </w:p>
    <w:p>
      <w:pPr>
        <w:spacing w:before="80"/>
      </w:pPr>
    </w:p>
    <w:p>
      <w:pPr>
        <w:pStyle w:val="ListParagraph"/>
        <w:numPr>
          <w:ilvl w:val="0"/>
          <w:numId w:val="3"/>
        </w:numPr>
        <w:spacing w:after="60" w:before="40"/>
      </w:pPr>
      <w:r>
        <w:rPr>
          <w:b/>
          <w:bCs/>
          <w:color w:val="000000"/>
          <w:sz w:val="22"/>
          <w:szCs w:val="22"/>
        </w:rPr>
        <w:t xml:space="preserve">Filter syariah: </w:t>
      </w:r>
      <w:r>
        <w:rPr>
          <w:sz w:val="22"/>
          <w:szCs w:val="22"/>
        </w:rPr>
        <w:t xml:space="preserve">pastikan saham masuk ISSI/JII70</w:t>
      </w:r>
    </w:p>
    <w:p>
      <w:pPr>
        <w:pStyle w:val="ListParagraph"/>
        <w:numPr>
          <w:ilvl w:val="0"/>
          <w:numId w:val="3"/>
        </w:numPr>
        <w:spacing w:after="60" w:before="40"/>
      </w:pPr>
      <w:r>
        <w:rPr>
          <w:b/>
          <w:bCs/>
          <w:color w:val="000000"/>
          <w:sz w:val="22"/>
          <w:szCs w:val="22"/>
        </w:rPr>
        <w:t xml:space="preserve">Skor teknikal tertinggi: </w:t>
      </w:r>
      <w:r>
        <w:rPr>
          <w:sz w:val="22"/>
          <w:szCs w:val="22"/>
        </w:rPr>
        <w:t xml:space="preserve">ambil 3–5 saham dengan skor screener tertinggi di sektor leading</w:t>
      </w:r>
    </w:p>
    <w:p>
      <w:pPr>
        <w:pStyle w:val="ListParagraph"/>
        <w:numPr>
          <w:ilvl w:val="0"/>
          <w:numId w:val="3"/>
        </w:numPr>
        <w:spacing w:after="60" w:before="40"/>
      </w:pPr>
      <w:r>
        <w:rPr>
          <w:b/>
          <w:bCs/>
          <w:color w:val="000000"/>
          <w:sz w:val="22"/>
          <w:szCs w:val="22"/>
        </w:rPr>
        <w:t xml:space="preserve">Fase Wyckoff: </w:t>
      </w:r>
      <w:r>
        <w:rPr>
          <w:sz w:val="22"/>
          <w:szCs w:val="22"/>
        </w:rPr>
        <w:t xml:space="preserve">prioritaskan yang berada di Akumulasi atau awal Markup</w:t>
      </w:r>
    </w:p>
    <w:p>
      <w:pPr>
        <w:pStyle w:val="ListParagraph"/>
        <w:numPr>
          <w:ilvl w:val="0"/>
          <w:numId w:val="3"/>
        </w:numPr>
        <w:spacing w:after="60" w:before="40"/>
      </w:pPr>
      <w:r>
        <w:rPr>
          <w:b/>
          <w:bCs/>
          <w:color w:val="000000"/>
          <w:sz w:val="22"/>
          <w:szCs w:val="22"/>
        </w:rPr>
        <w:t xml:space="preserve">CMF positif: </w:t>
      </w:r>
      <w:r>
        <w:rPr>
          <w:sz w:val="22"/>
          <w:szCs w:val="22"/>
        </w:rPr>
        <w:t xml:space="preserve">konfirmasi aliran dana mendukung</w:t>
      </w:r>
    </w:p>
    <w:p>
      <w:pPr>
        <w:pStyle w:val="ListParagraph"/>
        <w:numPr>
          <w:ilvl w:val="0"/>
          <w:numId w:val="3"/>
        </w:numPr>
        <w:spacing w:after="60" w:before="40"/>
      </w:pPr>
      <w:r>
        <w:rPr>
          <w:b/>
          <w:bCs/>
          <w:color w:val="000000"/>
          <w:sz w:val="22"/>
          <w:szCs w:val="22"/>
        </w:rPr>
        <w:t xml:space="preserve">Likuiditas: </w:t>
      </w:r>
      <w:r>
        <w:rPr>
          <w:sz w:val="22"/>
          <w:szCs w:val="22"/>
        </w:rPr>
        <w:t xml:space="preserve">pastikan volume harian cukup untuk ukuran posisi yang kamu rencanakan</w:t>
      </w:r>
    </w:p>
    <w:p>
      <w:pPr>
        <w:pStyle w:val="ListParagraph"/>
        <w:numPr>
          <w:ilvl w:val="0"/>
          <w:numId w:val="3"/>
        </w:numPr>
        <w:spacing w:after="60" w:before="40"/>
      </w:pPr>
      <w:r>
        <w:rPr>
          <w:b/>
          <w:bCs/>
          <w:color w:val="000000"/>
          <w:sz w:val="22"/>
          <w:szCs w:val="22"/>
        </w:rPr>
        <w:t xml:space="preserve">Fundamental (opsional untuk swing): </w:t>
      </w:r>
      <w:r>
        <w:rPr>
          <w:sz w:val="22"/>
          <w:szCs w:val="22"/>
        </w:rPr>
        <w:t xml:space="preserve">cek Piotroski F-Score ≥ 5 untuk menghindari value trap</w:t>
      </w:r>
    </w:p>
    <w:p>
      <w:pPr>
        <w:spacing w:before="80"/>
      </w:pPr>
    </w:p>
    <w:p>
      <w:pPr>
        <w:pBdr>
          <w:left w:val="single" w:color="2980B9" w:sz="20"/>
        </w:pBdr>
        <w:shd w:fill="EBF5FB" w:val="clear"/>
        <w:spacing w:after="120" w:before="120"/>
        <w:ind w:left="360"/>
      </w:pPr>
      <w:r>
        <w:rPr>
          <w:b/>
          <w:bCs/>
          <w:color w:val="2980B9"/>
          <w:sz w:val="22"/>
          <w:szCs w:val="22"/>
        </w:rPr>
        <w:t xml:space="preserve">[LINK: Piotroski F-Score: Cara Mudah Nilai Kualitas Bisnis dari Laporan Keuangan]</w:t>
      </w:r>
    </w:p>
    <w:p>
      <w:pPr>
        <w:pBdr>
          <w:bottom w:val="single" w:color="AED6F1" w:sz="4" w:space="1"/>
        </w:pBdr>
        <w:spacing w:after="160" w:before="160"/>
      </w:pPr>
    </w:p>
    <w:p>
      <w:pPr>
        <w:pStyle w:val="Heading2"/>
        <w:spacing w:after="140" w:before="340"/>
      </w:pPr>
      <w:r>
        <w:rPr>
          <w:b/>
          <w:bCs/>
          <w:color w:val="1B4F72"/>
          <w:sz w:val="28"/>
          <w:szCs w:val="28"/>
        </w:rPr>
        <w:t xml:space="preserve">Contoh Penerapan Top-Down Analysis di IDX</w:t>
      </w:r>
    </w:p>
    <w:p>
      <w:pPr>
        <w:spacing w:after="120" w:before="60"/>
      </w:pPr>
      <w:r>
        <w:rPr>
          <w:sz w:val="22"/>
          <w:szCs w:val="22"/>
        </w:rPr>
        <w:t xml:space="preserve">Skenario: Harga komoditas energi sedang naik, BI rate stabil, DXY melemah. Berikut penerapan top-down step by step:</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Level</w:t>
            </w:r>
          </w:p>
        </w:tc>
        <w:tc>
          <w:tcPr>
            <w:tcW w:type="dxa" w:w="36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Kondisi</w:t>
            </w:r>
          </w:p>
        </w:tc>
        <w:tc>
          <w:tcPr>
            <w:tcW w:type="dxa" w:w="36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Keputusan</w:t>
            </w:r>
          </w:p>
        </w:tc>
      </w:tr>
      <w:tr>
        <w:tc>
          <w:tcPr>
            <w:tcW w:type="dxa" w:w="18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Makro Global</w:t>
            </w:r>
          </w:p>
        </w:tc>
        <w:tc>
          <w:tcPr>
            <w:tcW w:type="dxa" w:w="3613"/>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Harga batu bara naik 15% ytd, DXY melemah</w:t>
            </w:r>
          </w:p>
        </w:tc>
        <w:tc>
          <w:tcPr>
            <w:tcW w:type="dxa" w:w="3613"/>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Risk-on; favorit sektor eksportir komoditas</w:t>
            </w:r>
          </w:p>
        </w:tc>
      </w:tr>
      <w:tr>
        <w:tc>
          <w:tcPr>
            <w:tcW w:type="dxa" w:w="18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Makro Domestik</w:t>
            </w:r>
          </w:p>
        </w:tc>
        <w:tc>
          <w:tcPr>
            <w:tcW w:type="dxa" w:w="3613"/>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BI rate stabil 6%, inflasi 3.2%, current account surplus</w:t>
            </w:r>
          </w:p>
        </w:tc>
        <w:tc>
          <w:tcPr>
            <w:tcW w:type="dxa" w:w="3613"/>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Kondisi domestik kondusif, tidak ada headwind</w:t>
            </w:r>
          </w:p>
        </w:tc>
      </w:tr>
      <w:tr>
        <w:tc>
          <w:tcPr>
            <w:tcW w:type="dxa" w:w="18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Sektor</w:t>
            </w:r>
          </w:p>
        </w:tc>
        <w:tc>
          <w:tcPr>
            <w:tcW w:type="dxa" w:w="3613"/>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Energi: ret_1m +8.2%, n_buy 7/12 saham</w:t>
            </w:r>
          </w:p>
        </w:tc>
        <w:tc>
          <w:tcPr>
            <w:tcW w:type="dxa" w:w="3613"/>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bCs/>
                <w:color w:val="145A32"/>
                <w:sz w:val="20"/>
                <w:szCs w:val="20"/>
              </w:rPr>
              <w:t xml:space="preserve">Leading sector terkonfirmasi — fokus di Energi</w:t>
            </w:r>
          </w:p>
        </w:tc>
      </w:tr>
      <w:tr>
        <w:tc>
          <w:tcPr>
            <w:tcW w:type="dxa" w:w="18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Saham</w:t>
            </w:r>
          </w:p>
        </w:tc>
        <w:tc>
          <w:tcPr>
            <w:tcW w:type="dxa" w:w="3613"/>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ADRO: skor 9, Akumulasi, CMF +0.28, JII70</w:t>
            </w:r>
          </w:p>
        </w:tc>
        <w:tc>
          <w:tcPr>
            <w:tcW w:type="dxa" w:w="3613"/>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Entry dengan risiko 1% modal — semua filter terpenuhi</w:t>
            </w:r>
          </w:p>
        </w:tc>
      </w:tr>
    </w:tbl>
    <w:p>
      <w:pPr>
        <w:spacing w:before="160"/>
      </w:pPr>
    </w:p>
    <w:p>
      <w:pPr>
        <w:pBdr>
          <w:left w:val="single" w:color="666666" w:sz="20"/>
        </w:pBdr>
        <w:shd w:fill="F2F3F4" w:val="clear"/>
        <w:spacing w:after="120" w:before="120"/>
        <w:ind w:left="360"/>
      </w:pPr>
      <w:r>
        <w:rPr>
          <w:b/>
          <w:bCs/>
          <w:color w:val="666666"/>
          <w:sz w:val="22"/>
          <w:szCs w:val="22"/>
        </w:rPr>
        <w:t xml:space="preserve">[GAMBAR: Diagram piramida terbalik — Makro Global → Makro Domestik → Sektor → Saham — dengan contoh di setiap level]</w:t>
      </w:r>
    </w:p>
    <w:p>
      <w:pPr>
        <w:pBdr>
          <w:bottom w:val="single" w:color="AED6F1" w:sz="4" w:space="1"/>
        </w:pBdr>
        <w:spacing w:after="160" w:before="160"/>
      </w:pPr>
    </w:p>
    <w:p>
      <w:pPr>
        <w:pStyle w:val="Heading2"/>
        <w:spacing w:after="140" w:before="340"/>
      </w:pPr>
      <w:r>
        <w:rPr>
          <w:b/>
          <w:bCs/>
          <w:color w:val="1B4F72"/>
          <w:sz w:val="28"/>
          <w:szCs w:val="28"/>
        </w:rPr>
        <w:t xml:space="preserve">Cara Praktis Menerapkan Top-Down Analysis: Step by Step</w:t>
      </w:r>
    </w:p>
    <w:p>
      <w:pPr>
        <w:pStyle w:val="ListParagraph"/>
        <w:numPr>
          <w:ilvl w:val="0"/>
          <w:numId w:val="3"/>
        </w:numPr>
        <w:spacing w:after="60" w:before="40"/>
      </w:pPr>
      <w:r>
        <w:rPr>
          <w:sz w:val="22"/>
          <w:szCs w:val="22"/>
        </w:rPr>
        <w:t xml:space="preserve">Cek kondisi pasar global: apakah VIX rendah (&lt;20)? Fed dovish atau hawkish? Komoditas naik atau turun?</w:t>
      </w:r>
    </w:p>
    <w:p>
      <w:pPr>
        <w:pStyle w:val="ListParagraph"/>
        <w:numPr>
          <w:ilvl w:val="0"/>
          <w:numId w:val="3"/>
        </w:numPr>
        <w:spacing w:after="60" w:before="40"/>
      </w:pPr>
      <w:r>
        <w:rPr>
          <w:sz w:val="22"/>
          <w:szCs w:val="22"/>
        </w:rPr>
        <w:t xml:space="preserve">Cek kondisi domestik: arah BI rate, tren inflasi, dan kurs IDR terkini</w:t>
      </w:r>
    </w:p>
    <w:p>
      <w:pPr>
        <w:pStyle w:val="ListParagraph"/>
        <w:numPr>
          <w:ilvl w:val="0"/>
          <w:numId w:val="3"/>
        </w:numPr>
        <w:spacing w:after="60" w:before="40"/>
      </w:pPr>
      <w:r>
        <w:rPr>
          <w:b/>
          <w:bCs/>
          <w:color w:val="000000"/>
          <w:sz w:val="22"/>
          <w:szCs w:val="22"/>
        </w:rPr>
        <w:t xml:space="preserve">Buka dashboard rotasi sektor </w:t>
      </w:r>
      <w:r>
        <w:rPr>
          <w:sz w:val="22"/>
          <w:szCs w:val="22"/>
        </w:rPr>
        <w:t xml:space="preserve">di screener: identifikasi 2–3 sektor dengan ret_1m dan n_buy tertinggi</w:t>
      </w:r>
    </w:p>
    <w:p>
      <w:pPr>
        <w:pStyle w:val="ListParagraph"/>
        <w:numPr>
          <w:ilvl w:val="0"/>
          <w:numId w:val="3"/>
        </w:numPr>
        <w:spacing w:after="60" w:before="40"/>
      </w:pPr>
      <w:r>
        <w:rPr>
          <w:sz w:val="22"/>
          <w:szCs w:val="22"/>
        </w:rPr>
        <w:t xml:space="preserve">Konfirmasi tren sektoral dengan ret_3m — sektor leading sebaiknya positif di kedua timeframe</w:t>
      </w:r>
    </w:p>
    <w:p>
      <w:pPr>
        <w:pStyle w:val="ListParagraph"/>
        <w:numPr>
          <w:ilvl w:val="0"/>
          <w:numId w:val="3"/>
        </w:numPr>
        <w:spacing w:after="60" w:before="40"/>
      </w:pPr>
      <w:r>
        <w:rPr>
          <w:sz w:val="22"/>
          <w:szCs w:val="22"/>
        </w:rPr>
        <w:t xml:space="preserve">Fokus pencarian saham hanya di sektor-sektor terpilih</w:t>
      </w:r>
    </w:p>
    <w:p>
      <w:pPr>
        <w:pStyle w:val="ListParagraph"/>
        <w:numPr>
          <w:ilvl w:val="0"/>
          <w:numId w:val="3"/>
        </w:numPr>
        <w:spacing w:after="60" w:before="40"/>
      </w:pPr>
      <w:r>
        <w:rPr>
          <w:sz w:val="22"/>
          <w:szCs w:val="22"/>
        </w:rPr>
        <w:t xml:space="preserve">Filter dengan skor teknikal ≥7 dan fase Wyckoff (Akumulasi/Markup) di dalam sektor tersebut</w:t>
      </w:r>
    </w:p>
    <w:p>
      <w:pPr>
        <w:pStyle w:val="ListParagraph"/>
        <w:numPr>
          <w:ilvl w:val="0"/>
          <w:numId w:val="3"/>
        </w:numPr>
        <w:spacing w:after="60" w:before="40"/>
      </w:pPr>
      <w:r>
        <w:rPr>
          <w:sz w:val="22"/>
          <w:szCs w:val="22"/>
        </w:rPr>
        <w:t xml:space="preserve">Pilih 2–3 kandidat terbaik; konfirmasi CMF, RSI, dan Donchian di chart individual</w:t>
      </w:r>
    </w:p>
    <w:p>
      <w:pPr>
        <w:pStyle w:val="ListParagraph"/>
        <w:numPr>
          <w:ilvl w:val="0"/>
          <w:numId w:val="3"/>
        </w:numPr>
        <w:spacing w:after="60" w:before="40"/>
      </w:pPr>
      <w:r>
        <w:rPr>
          <w:sz w:val="22"/>
          <w:szCs w:val="22"/>
        </w:rPr>
        <w:t xml:space="preserve">Eksekusi dengan manajemen risiko: SL berbasis ATR, position sizing 1% risk per trade</w:t>
      </w:r>
    </w:p>
    <w:p>
      <w:pPr>
        <w:pBdr>
          <w:bottom w:val="single" w:color="AED6F1" w:sz="4" w:space="1"/>
        </w:pBdr>
        <w:spacing w:after="160" w:before="160"/>
      </w:pPr>
    </w:p>
    <w:p>
      <w:pPr>
        <w:pStyle w:val="Heading2"/>
        <w:spacing w:after="140" w:before="340"/>
      </w:pPr>
      <w:r>
        <w:rPr>
          <w:b/>
          <w:bCs/>
          <w:color w:val="1B4F72"/>
          <w:sz w:val="28"/>
          <w:szCs w:val="28"/>
        </w:rPr>
        <w:t xml:space="preserve">Kesalahan Umum dalam Analisis Top-Down</w:t>
      </w:r>
    </w:p>
    <w:p>
      <w:pPr>
        <w:pStyle w:val="ListParagraph"/>
        <w:numPr>
          <w:ilvl w:val="0"/>
          <w:numId w:val="2"/>
        </w:numPr>
        <w:spacing w:after="60" w:before="40"/>
      </w:pPr>
      <w:r>
        <w:rPr>
          <w:b/>
          <w:bCs/>
          <w:color w:val="000000"/>
          <w:sz w:val="22"/>
          <w:szCs w:val="22"/>
        </w:rPr>
        <w:t xml:space="preserve">Skip level makro dan langsung ke saham </w:t>
      </w:r>
      <w:r>
        <w:rPr>
          <w:sz w:val="22"/>
          <w:szCs w:val="22"/>
        </w:rPr>
        <w:t xml:space="preserve">— ini bottom-up, bukan top-down; risikonya adalah analisis benar tapi timing salah karena kondisi makro tidak mendukung</w:t>
      </w:r>
    </w:p>
    <w:p>
      <w:pPr>
        <w:pStyle w:val="ListParagraph"/>
        <w:numPr>
          <w:ilvl w:val="0"/>
          <w:numId w:val="2"/>
        </w:numPr>
        <w:spacing w:after="60" w:before="40"/>
      </w:pPr>
      <w:r>
        <w:rPr>
          <w:b/>
          <w:bCs/>
          <w:color w:val="000000"/>
          <w:sz w:val="22"/>
          <w:szCs w:val="22"/>
        </w:rPr>
        <w:t xml:space="preserve">Terlalu lama di level makro </w:t>
      </w:r>
      <w:r>
        <w:rPr>
          <w:sz w:val="22"/>
          <w:szCs w:val="22"/>
        </w:rPr>
        <w:t xml:space="preserve">— analisis makro yang terlalu dalam bisa menjadi paralysis by analysis; cukup 3–4 indikator kunci per level</w:t>
      </w:r>
    </w:p>
    <w:p>
      <w:pPr>
        <w:pStyle w:val="ListParagraph"/>
        <w:numPr>
          <w:ilvl w:val="0"/>
          <w:numId w:val="2"/>
        </w:numPr>
        <w:spacing w:after="60" w:before="40"/>
      </w:pPr>
      <w:r>
        <w:rPr>
          <w:b/>
          <w:bCs/>
          <w:color w:val="000000"/>
          <w:sz w:val="22"/>
          <w:szCs w:val="22"/>
        </w:rPr>
        <w:t xml:space="preserve">Mengabaikan rotasi sektor </w:t>
      </w:r>
      <w:r>
        <w:rPr>
          <w:sz w:val="22"/>
          <w:szCs w:val="22"/>
        </w:rPr>
        <w:t xml:space="preserve">— memilih saham terbaik dari sektor yang sedang dalam downtrend sektoral</w:t>
      </w:r>
    </w:p>
    <w:p>
      <w:pPr>
        <w:pStyle w:val="ListParagraph"/>
        <w:numPr>
          <w:ilvl w:val="0"/>
          <w:numId w:val="2"/>
        </w:numPr>
        <w:spacing w:after="60" w:before="40"/>
      </w:pPr>
      <w:r>
        <w:rPr>
          <w:b/>
          <w:bCs/>
          <w:color w:val="000000"/>
          <w:sz w:val="22"/>
          <w:szCs w:val="22"/>
        </w:rPr>
        <w:t xml:space="preserve">Tidak update framework secara berkala </w:t>
      </w:r>
      <w:r>
        <w:rPr>
          <w:sz w:val="22"/>
          <w:szCs w:val="22"/>
        </w:rPr>
        <w:t xml:space="preserve">— kondisi makro berubah; lakukan review top-down minimal sebulan sekali</w:t>
      </w:r>
    </w:p>
    <w:p>
      <w:pPr>
        <w:pStyle w:val="ListParagraph"/>
        <w:numPr>
          <w:ilvl w:val="0"/>
          <w:numId w:val="2"/>
        </w:numPr>
        <w:spacing w:after="60" w:before="40"/>
      </w:pPr>
      <w:r>
        <w:rPr>
          <w:b/>
          <w:bCs/>
          <w:color w:val="000000"/>
          <w:sz w:val="22"/>
          <w:szCs w:val="22"/>
        </w:rPr>
        <w:t xml:space="preserve">Hanya fokus ke saham IDX tanpa lihat konteks global </w:t>
      </w:r>
      <w:r>
        <w:rPr>
          <w:sz w:val="22"/>
          <w:szCs w:val="22"/>
        </w:rPr>
        <w:t xml:space="preserve">— IDX sangat terpengaruh oleh kapital asing; mengabaikan kondisi global = blindspot besar</w:t>
      </w:r>
    </w:p>
    <w:p>
      <w:pPr>
        <w:pBdr>
          <w:bottom w:val="single" w:color="AED6F1" w:sz="4" w:space="1"/>
        </w:pBdr>
        <w:spacing w:after="160" w:before="160"/>
      </w:pPr>
    </w:p>
    <w:p>
      <w:pPr>
        <w:pStyle w:val="Heading2"/>
        <w:spacing w:after="140" w:before="340"/>
      </w:pPr>
      <w:r>
        <w:rPr>
          <w:b/>
          <w:bCs/>
          <w:color w:val="1B4F72"/>
          <w:sz w:val="28"/>
          <w:szCs w:val="28"/>
        </w:rPr>
        <w:t xml:space="preserve">Kesimpulan</w:t>
      </w:r>
    </w:p>
    <w:p>
      <w:pPr>
        <w:spacing w:after="120" w:before="60"/>
      </w:pPr>
      <w:r>
        <w:rPr>
          <w:sz w:val="22"/>
          <w:szCs w:val="22"/>
        </w:rPr>
        <w:t xml:space="preserve">Analisis top-down bukan berarti kamu harus menjadi ekonom untuk berinvestasi. Cukup pahami 4–5 indikator makro kunci, identifikasi sektor yang sedang leading, lalu gunakan tools teknikal untuk memilih saham terbaik di sektor tersebut.</w:t>
      </w:r>
    </w:p>
    <w:p>
      <w:pPr>
        <w:spacing w:after="120" w:before="60"/>
      </w:pPr>
      <w:r>
        <w:rPr>
          <w:sz w:val="22"/>
          <w:szCs w:val="22"/>
        </w:rPr>
        <w:t xml:space="preserve">Hasilnya adalah sistem yang jauh lebih terstruktur: kamu tidak sekadar membeli saham yang "kelihatan bagus", tapi saham yang tepat di sektor yang tepat pada waktu yang tepat. Inilah yang membedakan investor menengah dari pemula.</w:t>
      </w:r>
    </w:p>
    <w:p>
      <w:pPr>
        <w:pBdr>
          <w:top w:val="single" w:color="2980B9" w:sz="6"/>
          <w:left w:val="single" w:color="2980B9" w:sz="20"/>
          <w:bottom w:val="single" w:color="2980B9" w:sz="6"/>
          <w:right w:val="single" w:color="2980B9" w:sz="6"/>
        </w:pBdr>
        <w:shd w:fill="D6EAF8" w:val="clear"/>
        <w:spacing w:after="200" w:before="200"/>
        <w:ind w:left="360" w:right="360"/>
      </w:pPr>
      <w:r>
        <w:rPr>
          <w:sz w:val="22"/>
          <w:szCs w:val="22"/>
        </w:rPr>
        <w:t xml:space="preserve">Untuk melihat dashboard rotasi sektor IDX real-time — termasuk return sektoral, jumlah saham BUY per sektor, dan skor rata-rata — kunjungi </w:t>
      </w:r>
      <w:hyperlink w:history="1" r:id="rIdmyttribvviwxzdntapa3h">
        <w:r>
          <w:rPr>
            <w:b/>
            <w:bCs/>
            <w:color w:val="2980B9"/>
            <w:sz w:val="22"/>
            <w:szCs w:val="22"/>
            <w:u w:val="single"/>
          </w:rPr>
          <w:t xml:space="preserve">Ultimate Smart Money Analyst (smartscreener.streamlit.app)</w:t>
        </w:r>
      </w:hyperlink>
      <w:r>
        <w:rPr>
          <w:sz w:val="22"/>
          <w:szCs w:val="22"/>
        </w:rPr>
        <w:t xml:space="preserve">, screener saham syariah berbasis AI.</w:t>
      </w:r>
    </w:p>
    <w:p>
      <w:pPr>
        <w:pBdr>
          <w:bottom w:val="single" w:color="AED6F1" w:sz="4" w:space="1"/>
        </w:pBdr>
        <w:spacing w:after="160" w:before="160"/>
      </w:pPr>
    </w:p>
    <w:p>
      <w:pPr>
        <w:pStyle w:val="Heading2"/>
        <w:spacing w:after="140" w:before="340"/>
      </w:pPr>
      <w:r>
        <w:rPr>
          <w:b/>
          <w:bCs/>
          <w:color w:val="1B4F72"/>
          <w:sz w:val="28"/>
          <w:szCs w:val="28"/>
        </w:rPr>
        <w:t xml:space="preserve">FAQ: Analisis Top-Down Saham</w:t>
      </w:r>
    </w:p>
    <w:p>
      <w:pPr>
        <w:spacing w:before="80"/>
      </w:pPr>
    </w:p>
    <w:p>
      <w:pPr>
        <w:spacing w:after="40" w:before="80"/>
      </w:pPr>
      <w:r>
        <w:rPr>
          <w:b/>
          <w:bCs/>
          <w:color w:val="2980B9"/>
          <w:sz w:val="22"/>
          <w:szCs w:val="22"/>
        </w:rPr>
        <w:t xml:space="preserve">Q: Apakah top-down analysis cocok untuk trader jangka pendek?</w:t>
      </w:r>
    </w:p>
    <w:p>
      <w:pPr>
        <w:spacing w:after="120" w:before="60"/>
      </w:pPr>
      <w:r>
        <w:rPr>
          <w:sz w:val="22"/>
          <w:szCs w:val="22"/>
        </w:rPr>
        <w:t xml:space="preserve">A: Sangat cocok. Bahkan untuk swing trading 1–4 minggu, memahami arah sektor membantu meningkatkan win rate secara signifikan. Trader yang membeli saham yang berlawanan dengan tren sektoral sering mengalami pertarungan melawan arus — trade yang lebih sulit secara probabilitas.</w:t>
      </w:r>
    </w:p>
    <w:p>
      <w:pPr>
        <w:spacing w:after="40" w:before="160"/>
      </w:pPr>
      <w:r>
        <w:rPr>
          <w:b/>
          <w:bCs/>
          <w:color w:val="2980B9"/>
          <w:sz w:val="22"/>
          <w:szCs w:val="22"/>
        </w:rPr>
        <w:t xml:space="preserve">Q: Bagaimana jika semua sektor sedang negatif (pasar bearish)?</w:t>
      </w:r>
    </w:p>
    <w:p>
      <w:pPr>
        <w:spacing w:after="120" w:before="60"/>
      </w:pPr>
      <w:r>
        <w:rPr>
          <w:sz w:val="22"/>
          <w:szCs w:val="22"/>
        </w:rPr>
        <w:t xml:space="preserve">A: Ini adalah sinyal untuk mengurangi eksposur keseluruhan ke saham, bukan untuk mencari sektor terbaik dari yang buruk. Saat semua sektor negatif, opsi terbaik adalah meningkatkan porsi kas, fokus ke saham defensif (konsumer, kesehatan), atau tunggu konfirmasi pemulihan dari leading sector sebelum kembali aktif.</w:t>
      </w:r>
    </w:p>
    <w:p>
      <w:pPr>
        <w:spacing w:after="40" w:before="160"/>
      </w:pPr>
      <w:r>
        <w:rPr>
          <w:b/>
          <w:bCs/>
          <w:color w:val="2980B9"/>
          <w:sz w:val="22"/>
          <w:szCs w:val="22"/>
        </w:rPr>
        <w:t xml:space="preserve">Q: Apakah top-down analysis berlaku juga untuk saham Wall Street?</w:t>
      </w:r>
    </w:p>
    <w:p>
      <w:pPr>
        <w:spacing w:after="120" w:before="60"/>
      </w:pPr>
      <w:r>
        <w:rPr>
          <w:sz w:val="22"/>
          <w:szCs w:val="22"/>
        </w:rPr>
        <w:t xml:space="preserve">A: Ya, dan bahkan lebih penting untuk saham AS karena pengaruh Fed sangat besar. Untuk saham syariah Wall Street (filter DJIMI), framework-nya sama: makro global → sektor S&amp;P 500 → saham individual yang lolos filter DJIMI. Screener ini mendukung keduanya secara bersamaan.</w:t>
      </w:r>
    </w:p>
    <w:p>
      <w:pPr>
        <w:pBdr>
          <w:bottom w:val="single" w:color="AED6F1" w:sz="4" w:space="1"/>
        </w:pBdr>
        <w:spacing w:after="160" w:before="160"/>
      </w:pPr>
    </w:p>
    <w:p>
      <w:pPr>
        <w:spacing w:before="60"/>
        <w:jc w:val="center"/>
      </w:pPr>
      <w:r>
        <w:rPr>
          <w:color w:val="666666"/>
          <w:sz w:val="18"/>
          <w:szCs w:val="18"/>
        </w:rPr>
        <w:t xml:space="preserve">Artikel SEO | versokit.com  |  Seri: Makro &amp; Rotasi Sektor  |  App: </w:t>
      </w:r>
      <w:hyperlink w:history="1" r:id="rId6wl3mmqya_vmiocwnblio">
        <w:r>
          <w:rPr>
            <w:color w:val="2980B9"/>
            <w:sz w:val="18"/>
            <w:szCs w:val="18"/>
            <w:u w:val="single"/>
          </w:rPr>
          <w:t xml:space="preserve">https://smartscreener.streamlit.app</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0"/>
      <w:outlineLvl w:val="0"/>
    </w:pPr>
    <w:rPr>
      <w:rFonts w:ascii="Arial" w:cs="Arial" w:eastAsia="Arial" w:hAnsi="Arial"/>
      <w:b/>
      <w:bCs/>
      <w:color w:val="1B4F72"/>
      <w:sz w:val="38"/>
      <w:szCs w:val="38"/>
    </w:rPr>
  </w:style>
  <w:style w:type="paragraph" w:styleId="Heading2">
    <w:name w:val="Heading 2"/>
    <w:basedOn w:val="Normal"/>
    <w:next w:val="Normal"/>
    <w:pPr>
      <w:spacing w:after="140" w:before="340"/>
      <w:outlineLvl w:val="1"/>
    </w:pPr>
    <w:rPr>
      <w:rFonts w:ascii="Arial" w:cs="Arial" w:eastAsia="Arial" w:hAnsi="Arial"/>
      <w:b/>
      <w:bCs/>
      <w:color w:val="1B4F72"/>
      <w:sz w:val="28"/>
      <w:szCs w:val="28"/>
    </w:rPr>
  </w:style>
  <w:style w:type="paragraph" w:styleId="Heading3">
    <w:name w:val="Heading 3"/>
    <w:basedOn w:val="Normal"/>
    <w:next w:val="Normal"/>
    <w:pPr>
      <w:spacing w:after="80" w:before="24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yttribvviwxzdntapa3h" Type="http://schemas.openxmlformats.org/officeDocument/2006/relationships/hyperlink" Target="https://smartscreener.streamlit.app" TargetMode="External"/><Relationship Id="rId6wl3mmqya_vmiocwnblio" Type="http://schemas.openxmlformats.org/officeDocument/2006/relationships/hyperlink" Target="https://smartscreener.streamlit.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2026-06-03T09:16:57.702Z</dcterms:created>
  <dcterms:modified xsi:type="dcterms:W3CDTF">2026-06-03T09:16:57.702Z</dcterms:modified>
</cp:coreProperties>
</file>

<file path=docProps/custom.xml><?xml version="1.0" encoding="utf-8"?>
<Properties xmlns="http://schemas.openxmlformats.org/officeDocument/2006/custom-properties" xmlns:vt="http://schemas.openxmlformats.org/officeDocument/2006/docPropsVTypes"/>
</file>