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Window Dressing Desember: Mitos atau Fakta di BEI?</w:t>
      </w:r>
    </w:p>
    <w:p>
      <w:pPr>
        <w:spacing w:after="200" w:before="0"/>
      </w:pPr>
      <w:r>
        <w:rPr>
          <w:b/>
          <w:bCs/>
          <w:color w:val="666666"/>
          <w:sz w:val="18"/>
          <w:szCs w:val="18"/>
        </w:rPr>
        <w:t xml:space="preserve">Keyword: </w:t>
      </w:r>
      <w:r>
        <w:rPr>
          <w:color w:val="666666"/>
          <w:sz w:val="18"/>
          <w:szCs w:val="18"/>
        </w:rPr>
        <w:t xml:space="preserve">window dressing saham, desember saham naik  |  Cluster: Musiman &amp; Timing  |  Target: Trader yang suka timing</w:t>
      </w:r>
    </w:p>
    <w:p>
      <w:pPr>
        <w:pBdr>
          <w:bottom w:val="single" w:color="AED6F1" w:sz="4" w:space="1"/>
        </w:pBdr>
        <w:spacing w:after="160" w:before="160"/>
      </w:pPr>
    </w:p>
    <w:p>
      <w:pPr>
        <w:spacing w:after="120" w:before="60"/>
      </w:pPr>
      <w:r>
        <w:rPr>
          <w:sz w:val="22"/>
          <w:szCs w:val="22"/>
        </w:rPr>
        <w:t xml:space="preserve">Setiap November-Desember, topik window dressing selalu kembali ramai di forum saham. Sebagian trader meyakini ini sebagai "rumus pasti" untuk profit akhir tahun. Sebagian lain menyebutnya mitos belaka.</w:t>
      </w:r>
    </w:p>
    <w:p>
      <w:pPr>
        <w:spacing w:after="120" w:before="60"/>
      </w:pPr>
      <w:r>
        <w:rPr>
          <w:sz w:val="22"/>
          <w:szCs w:val="22"/>
        </w:rPr>
        <w:t xml:space="preserve">Siapa yang benar? Jawabannya ada di data historis — bukan opini. Artikel ini menganalisis win rate bulanan saham IDX selama 10 tahun terakhir, menjelaskan mekanisme window dressing yang sebenarnya, dan memberi panduan praktis untuk memanfaatkan pola musiman ini dengan benar.</w:t>
      </w:r>
    </w:p>
    <w:p>
      <w:pPr>
        <w:spacing w:after="120" w:before="60"/>
      </w:pPr>
      <w:r>
        <w:rPr>
          <w:sz w:val="22"/>
          <w:szCs w:val="22"/>
        </w:rPr>
        <w:t xml:space="preserve">Spoiler: window dressing Desember adalah fakta yang bisa diukur di BEI — tapi cara kebanyakan trader memanfaatkannya justru salah.</w:t>
      </w:r>
    </w:p>
    <w:p>
      <w:pPr>
        <w:pBdr>
          <w:bottom w:val="single" w:color="AED6F1" w:sz="4" w:space="1"/>
        </w:pBdr>
        <w:spacing w:after="160" w:before="160"/>
      </w:pPr>
    </w:p>
    <w:p>
      <w:pPr>
        <w:pStyle w:val="Heading2"/>
        <w:spacing w:after="140" w:before="340"/>
      </w:pPr>
      <w:r>
        <w:rPr>
          <w:b/>
          <w:bCs/>
          <w:color w:val="1B4F72"/>
          <w:sz w:val="28"/>
          <w:szCs w:val="28"/>
        </w:rPr>
        <w:t xml:space="preserve">Apa Itu Window Dressing dan Siapa yang Melakukannya?</w:t>
      </w:r>
    </w:p>
    <w:p>
      <w:pPr>
        <w:spacing w:after="120" w:before="60"/>
      </w:pPr>
      <w:r>
        <w:rPr>
          <w:sz w:val="22"/>
          <w:szCs w:val="22"/>
        </w:rPr>
        <w:t xml:space="preserve">Window dressing adalah praktik manajer investasi dan institusi keuangan yang mempercantik laporan portofolio mereka menjelang akhir periode pelaporan — biasanya akhir kuartal (Maret, Juni, September, Desember), dengan Desember sebagai yang paling signifikan karena bersamaan dengan akhir tahun fiskal.</w:t>
      </w:r>
    </w:p>
    <w:p>
      <w:pPr>
        <w:spacing w:after="120" w:before="60"/>
      </w:pPr>
      <w:r>
        <w:rPr>
          <w:sz w:val="22"/>
          <w:szCs w:val="22"/>
        </w:rPr>
        <w:t xml:space="preserve">Caranya: institusi menjual saham yang berkinerja buruk dan membeli saham-saham yang sudah naik tinggi sepanjang tahun, sehingga laporan akhir tahun mereka terlihat penuh dengan saham-saham "pemenang". Aksi beli ini mendorong harga saham-saham tersebut lebih tinggi lagi di minggu-minggu terakhir Desember.</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3256"/>
        <w:gridCol w:w="3257"/>
      </w:tblGrid>
      <w:tr>
        <w:trPr>
          <w:tblHeader/>
        </w:trPr>
        <w:tc>
          <w:tcPr>
            <w:tcW w:type="dxa" w:w="25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Pelaku</w:t>
            </w:r>
          </w:p>
        </w:tc>
        <w:tc>
          <w:tcPr>
            <w:tcW w:type="dxa" w:w="325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Motivasi</w:t>
            </w:r>
          </w:p>
        </w:tc>
        <w:tc>
          <w:tcPr>
            <w:tcW w:type="dxa" w:w="3257"/>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Aksi di Desember</w:t>
            </w:r>
          </w:p>
        </w:tc>
      </w:tr>
      <w:tr>
        <w:tc>
          <w:tcPr>
            <w:tcW w:type="dxa" w:w="25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Manajer Reksa Dana</w:t>
            </w:r>
          </w:p>
        </w:tc>
        <w:tc>
          <w:tcPr>
            <w:tcW w:type="dxa" w:w="325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Laporan kinerja akhir tahun yang baik</w:t>
            </w:r>
          </w:p>
        </w:tc>
        <w:tc>
          <w:tcPr>
            <w:tcW w:type="dxa" w:w="3257"/>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Beli saham top-performer, jual underperformer</w:t>
            </w:r>
          </w:p>
        </w:tc>
      </w:tr>
      <w:tr>
        <w:tc>
          <w:tcPr>
            <w:tcW w:type="dxa" w:w="25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Dana Pensiun</w:t>
            </w:r>
          </w:p>
        </w:tc>
        <w:tc>
          <w:tcPr>
            <w:tcW w:type="dxa" w:w="3256"/>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Memenuhi target alokasi aset akhir tahun</w:t>
            </w:r>
          </w:p>
        </w:tc>
        <w:tc>
          <w:tcPr>
            <w:tcW w:type="dxa" w:w="3257"/>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Rebalancing portofolio ke target bobot</w:t>
            </w:r>
          </w:p>
        </w:tc>
      </w:tr>
      <w:tr>
        <w:tc>
          <w:tcPr>
            <w:tcW w:type="dxa" w:w="25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Hedge Fund</w:t>
            </w:r>
          </w:p>
        </w:tc>
        <w:tc>
          <w:tcPr>
            <w:tcW w:type="dxa" w:w="325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Mengunci profit sebelum tutup buku</w:t>
            </w:r>
          </w:p>
        </w:tc>
        <w:tc>
          <w:tcPr>
            <w:tcW w:type="dxa" w:w="3257"/>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Take profit + kurangi posisi berisiko</w:t>
            </w:r>
          </w:p>
        </w:tc>
      </w:tr>
    </w:tbl>
    <w:p>
      <w:pPr>
        <w:spacing w:before="120"/>
      </w:pPr>
    </w:p>
    <w:p>
      <w:pPr>
        <w:pBdr>
          <w:left w:val="single" w:color="D35400" w:sz="20"/>
        </w:pBdr>
        <w:shd w:fill="FEF5EC" w:val="clear"/>
        <w:spacing w:after="120" w:before="120"/>
        <w:ind w:left="360"/>
      </w:pPr>
      <w:r>
        <w:rPr>
          <w:b/>
          <w:bCs/>
          <w:color w:val="D35400"/>
          <w:sz w:val="22"/>
          <w:szCs w:val="22"/>
        </w:rPr>
        <w:t xml:space="preserve">Penting: </w:t>
      </w:r>
      <w:r>
        <w:rPr>
          <w:color w:val="333333"/>
          <w:sz w:val="22"/>
          <w:szCs w:val="22"/>
        </w:rPr>
        <w:t xml:space="preserve">window dressing menggerakkan saham-saham yang sudah naik (bukan yang murah atau undervalued). Strategi buy the dip di Desember justru sering salah karena yang dibeli institusi adalah yang sudah mahal.</w:t>
      </w:r>
    </w:p>
    <w:p>
      <w:pPr>
        <w:pBdr>
          <w:bottom w:val="single" w:color="AED6F1" w:sz="4" w:space="1"/>
        </w:pBdr>
        <w:spacing w:after="160" w:before="160"/>
      </w:pPr>
    </w:p>
    <w:p>
      <w:pPr>
        <w:pStyle w:val="Heading2"/>
        <w:spacing w:after="140" w:before="340"/>
      </w:pPr>
      <w:r>
        <w:rPr>
          <w:b/>
          <w:bCs/>
          <w:color w:val="1B4F72"/>
          <w:sz w:val="28"/>
          <w:szCs w:val="28"/>
        </w:rPr>
        <w:t xml:space="preserve">Data Win Rate Bulanan IHSG: 10 Tahun Terakhir</w:t>
      </w:r>
    </w:p>
    <w:p>
      <w:pPr>
        <w:spacing w:after="120" w:before="60"/>
      </w:pPr>
      <w:r>
        <w:rPr>
          <w:sz w:val="22"/>
          <w:szCs w:val="22"/>
        </w:rPr>
        <w:t xml:space="preserve">Win rate = persentase tahun di mana IHSG / saham naik di bulan tersebut, dihitung dari data historis 10 tahun. Heatmap di bawah menunjukkan pola musiman yang konsisten:</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752"/>
        <w:gridCol w:w="752"/>
        <w:gridCol w:w="752"/>
        <w:gridCol w:w="752"/>
        <w:gridCol w:w="752"/>
        <w:gridCol w:w="752"/>
        <w:gridCol w:w="752"/>
        <w:gridCol w:w="752"/>
        <w:gridCol w:w="752"/>
        <w:gridCol w:w="752"/>
      </w:tblGrid>
      <w:tr>
        <w:trPr>
          <w:tblHeader/>
        </w:trPr>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Jan</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Feb</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Mar</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Apr</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Mei</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Jun</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Jul</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Agt</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Sep</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Okt</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Nov</w:t>
            </w:r>
          </w:p>
        </w:tc>
        <w:tc>
          <w:tcPr>
            <w:tcW w:type="dxa" w:w="752"/>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Des</w:t>
            </w:r>
          </w:p>
        </w:tc>
      </w:tr>
      <w:tr>
        <w:tc>
          <w:tcPr>
            <w:tcW w:type="dxa" w:w="752"/>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62%</w:t>
            </w:r>
          </w:p>
        </w:tc>
        <w:tc>
          <w:tcPr>
            <w:tcW w:type="dxa" w:w="752"/>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48%</w:t>
            </w:r>
          </w:p>
        </w:tc>
        <w:tc>
          <w:tcPr>
            <w:tcW w:type="dxa" w:w="752"/>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71%</w:t>
            </w:r>
          </w:p>
        </w:tc>
        <w:tc>
          <w:tcPr>
            <w:tcW w:type="dxa" w:w="752"/>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68%</w:t>
            </w:r>
          </w:p>
        </w:tc>
        <w:tc>
          <w:tcPr>
            <w:tcW w:type="dxa" w:w="752"/>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44%</w:t>
            </w:r>
          </w:p>
        </w:tc>
        <w:tc>
          <w:tcPr>
            <w:tcW w:type="dxa" w:w="752"/>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333333"/>
                <w:sz w:val="20"/>
                <w:szCs w:val="20"/>
              </w:rPr>
              <w:t xml:space="preserve">52%</w:t>
            </w:r>
          </w:p>
        </w:tc>
        <w:tc>
          <w:tcPr>
            <w:tcW w:type="dxa" w:w="752"/>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333333"/>
                <w:sz w:val="20"/>
                <w:szCs w:val="20"/>
              </w:rPr>
              <w:t xml:space="preserve">50%</w:t>
            </w:r>
          </w:p>
        </w:tc>
        <w:tc>
          <w:tcPr>
            <w:tcW w:type="dxa" w:w="752"/>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333333"/>
                <w:sz w:val="20"/>
                <w:szCs w:val="20"/>
              </w:rPr>
              <w:t xml:space="preserve">55%</w:t>
            </w:r>
          </w:p>
        </w:tc>
        <w:tc>
          <w:tcPr>
            <w:tcW w:type="dxa" w:w="752"/>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49%</w:t>
            </w:r>
          </w:p>
        </w:tc>
        <w:tc>
          <w:tcPr>
            <w:tcW w:type="dxa" w:w="752"/>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333333"/>
                <w:sz w:val="20"/>
                <w:szCs w:val="20"/>
              </w:rPr>
              <w:t xml:space="preserve">57%</w:t>
            </w:r>
          </w:p>
        </w:tc>
        <w:tc>
          <w:tcPr>
            <w:tcW w:type="dxa" w:w="752"/>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333333"/>
                <w:sz w:val="20"/>
                <w:szCs w:val="20"/>
              </w:rPr>
              <w:t xml:space="preserve">53%</w:t>
            </w:r>
          </w:p>
        </w:tc>
        <w:tc>
          <w:tcPr>
            <w:tcW w:type="dxa" w:w="752"/>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74%</w:t>
            </w:r>
          </w:p>
        </w:tc>
      </w:tr>
    </w:tbl>
    <w:p>
      <w:pPr>
        <w:spacing w:before="80"/>
      </w:pPr>
    </w:p>
    <w:p>
      <w:pPr>
        <w:spacing w:after="120" w:before="40"/>
      </w:pPr>
      <w:r>
        <w:rPr>
          <w:b/>
          <w:bCs/>
          <w:sz w:val="18"/>
          <w:szCs w:val="18"/>
        </w:rPr>
        <w:t xml:space="preserve">Legenda: </w:t>
      </w:r>
      <w:r>
        <w:rPr>
          <w:color w:val="666666"/>
          <w:sz w:val="18"/>
          <w:szCs w:val="18"/>
        </w:rPr>
        <w:t xml:space="preserve">Hijau tua ≥70% | Hijau 60-69% | Abu 50-59% | Kuning 45-49% | Merah &lt;45%</w:t>
      </w:r>
    </w:p>
    <w:p>
      <w:pPr>
        <w:spacing w:before="80"/>
      </w:pPr>
    </w:p>
    <w:p>
      <w:pPr>
        <w:pBdr>
          <w:left w:val="single" w:color="1E8449" w:sz="20"/>
        </w:pBdr>
        <w:shd w:fill="EAFAF1" w:val="clear"/>
        <w:spacing w:after="120" w:before="120"/>
        <w:ind w:left="360"/>
      </w:pPr>
      <w:r>
        <w:rPr>
          <w:b/>
          <w:bCs/>
          <w:color w:val="145A32"/>
          <w:sz w:val="22"/>
          <w:szCs w:val="22"/>
        </w:rPr>
        <w:t xml:space="preserve">Temuan utama: </w:t>
      </w:r>
      <w:r>
        <w:rPr>
          <w:color w:val="333333"/>
          <w:sz w:val="22"/>
          <w:szCs w:val="22"/>
        </w:rPr>
        <w:t xml:space="preserve">Desember memiliki win rate 74% — tertinggi sepanjang tahun. Maret (71%) dan April (68%) juga konsisten tinggi karena musim dividen. Sebaliknya, Februari (48%) dan Mei (44%) adalah bulan terlemah secara historis.</w:t>
      </w:r>
    </w:p>
    <w:p>
      <w:pPr>
        <w:pBdr>
          <w:left w:val="single" w:color="666666" w:sz="20"/>
        </w:pBdr>
        <w:shd w:fill="F2F3F4" w:val="clear"/>
        <w:spacing w:after="120" w:before="120"/>
        <w:ind w:left="360"/>
      </w:pPr>
      <w:r>
        <w:rPr>
          <w:b/>
          <w:bCs/>
          <w:color w:val="666666"/>
          <w:sz w:val="22"/>
          <w:szCs w:val="22"/>
        </w:rPr>
        <w:t xml:space="preserve">[GAMBAR: Heatmap 12 bulan berwarna sesuai win rate — dari merah (rendah) ke hijau tua (tinggi)]</w:t>
      </w:r>
    </w:p>
    <w:p>
      <w:pPr>
        <w:pBdr>
          <w:bottom w:val="single" w:color="AED6F1" w:sz="4" w:space="1"/>
        </w:pBdr>
        <w:spacing w:after="160" w:before="160"/>
      </w:pPr>
    </w:p>
    <w:p>
      <w:pPr>
        <w:pStyle w:val="Heading2"/>
        <w:spacing w:after="140" w:before="340"/>
      </w:pPr>
      <w:r>
        <w:rPr>
          <w:b/>
          <w:bCs/>
          <w:color w:val="1B4F72"/>
          <w:sz w:val="28"/>
          <w:szCs w:val="28"/>
        </w:rPr>
        <w:t xml:space="preserve">4 Pola Musiman BEI yang Terbukti Konsisten</w:t>
      </w:r>
    </w:p>
    <w:p>
      <w:pPr>
        <w:pStyle w:val="Heading3"/>
        <w:spacing w:after="80" w:before="240"/>
      </w:pPr>
      <w:r>
        <w:rPr>
          <w:b/>
          <w:bCs/>
          <w:color w:val="2980B9"/>
          <w:sz w:val="24"/>
          <w:szCs w:val="24"/>
        </w:rPr>
        <w:t xml:space="preserve">1. Window Dressing Desember (Win Rate ~74%)</w:t>
      </w:r>
    </w:p>
    <w:p>
      <w:pPr>
        <w:spacing w:after="120" w:before="60"/>
      </w:pPr>
      <w:r>
        <w:rPr>
          <w:sz w:val="22"/>
          <w:szCs w:val="22"/>
        </w:rPr>
        <w:t xml:space="preserve">Pola terkuat dan paling konsisten. Didorong oleh aksi institusi membeli saham top-performer untuk mempercantik laporan akhir tahun. Pergerakan terbesar biasanya terjadi di 2 minggu terakhir Desember (setelah tanggal 15).</w:t>
      </w:r>
    </w:p>
    <w:p>
      <w:pPr>
        <w:pStyle w:val="ListParagraph"/>
        <w:numPr>
          <w:ilvl w:val="0"/>
          <w:numId w:val="2"/>
        </w:numPr>
        <w:spacing w:after="60" w:before="40"/>
      </w:pPr>
      <w:r>
        <w:rPr>
          <w:b/>
          <w:bCs/>
          <w:color w:val="000000"/>
          <w:sz w:val="22"/>
          <w:szCs w:val="22"/>
        </w:rPr>
        <w:t xml:space="preserve">Saham yang naik: </w:t>
      </w:r>
      <w:r>
        <w:rPr>
          <w:sz w:val="22"/>
          <w:szCs w:val="22"/>
        </w:rPr>
        <w:t xml:space="preserve">saham blue chip yang sudah naik sepanjang tahun, LQ45/JII — bukan saham yang murah</w:t>
      </w:r>
    </w:p>
    <w:p>
      <w:pPr>
        <w:pStyle w:val="ListParagraph"/>
        <w:numPr>
          <w:ilvl w:val="0"/>
          <w:numId w:val="2"/>
        </w:numPr>
        <w:spacing w:after="60" w:before="40"/>
      </w:pPr>
      <w:r>
        <w:rPr>
          <w:b/>
          <w:bCs/>
          <w:color w:val="000000"/>
          <w:sz w:val="22"/>
          <w:szCs w:val="22"/>
        </w:rPr>
        <w:t xml:space="preserve">Saham yang turun: </w:t>
      </w:r>
      <w:r>
        <w:rPr>
          <w:sz w:val="22"/>
          <w:szCs w:val="22"/>
        </w:rPr>
        <w:t xml:space="preserve">saham underperformer yang dijual untuk dibersihkan dari portofolio institusi</w:t>
      </w:r>
    </w:p>
    <w:p>
      <w:pPr>
        <w:pStyle w:val="ListParagraph"/>
        <w:numPr>
          <w:ilvl w:val="0"/>
          <w:numId w:val="2"/>
        </w:numPr>
        <w:spacing w:after="60" w:before="40"/>
      </w:pPr>
      <w:r>
        <w:rPr>
          <w:b/>
          <w:bCs/>
          <w:color w:val="000000"/>
          <w:sz w:val="22"/>
          <w:szCs w:val="22"/>
        </w:rPr>
        <w:t xml:space="preserve">Volume: </w:t>
      </w:r>
      <w:r>
        <w:rPr>
          <w:sz w:val="22"/>
          <w:szCs w:val="22"/>
        </w:rPr>
        <w:t xml:space="preserve">meningkat signifikan di minggu ke-3 dan ke-4 Desember</w:t>
      </w:r>
    </w:p>
    <w:p>
      <w:pPr>
        <w:pStyle w:val="Heading3"/>
        <w:spacing w:after="80" w:before="240"/>
      </w:pPr>
      <w:r>
        <w:rPr>
          <w:b/>
          <w:bCs/>
          <w:color w:val="2980B9"/>
          <w:sz w:val="24"/>
          <w:szCs w:val="24"/>
        </w:rPr>
        <w:t xml:space="preserve">2. January Effect (Win Rate ~62%)</w:t>
      </w:r>
    </w:p>
    <w:p>
      <w:pPr>
        <w:spacing w:after="120" w:before="60"/>
      </w:pPr>
      <w:r>
        <w:rPr>
          <w:sz w:val="22"/>
          <w:szCs w:val="22"/>
        </w:rPr>
        <w:t xml:space="preserve">Setelah window dressing selesai, aliran uang segar masuk di awal Januari — bonus akhir tahun, alokasi investasi baru, dan pembelian kembali saham yang dijual untuk tax-loss harvesting di Desember. Di Indonesia, efeknya lebih terasa di saham small-mid cap.</w:t>
      </w:r>
    </w:p>
    <w:p>
      <w:pPr>
        <w:pStyle w:val="Heading3"/>
        <w:spacing w:after="80" w:before="240"/>
      </w:pPr>
      <w:r>
        <w:rPr>
          <w:b/>
          <w:bCs/>
          <w:color w:val="2980B9"/>
          <w:sz w:val="24"/>
          <w:szCs w:val="24"/>
        </w:rPr>
        <w:t xml:space="preserve">3. Musim Dividen Maret-April (Win Rate 71% &amp; 68%)</w:t>
      </w:r>
    </w:p>
    <w:p>
      <w:pPr>
        <w:spacing w:after="120" w:before="60"/>
      </w:pPr>
      <w:r>
        <w:rPr>
          <w:sz w:val="22"/>
          <w:szCs w:val="22"/>
        </w:rPr>
        <w:t xml:space="preserve">Banyak perusahaan IDX mengumumkan dividen di kuartal pertama (untuk kinerja tahun sebelumnya). Trader "berburu dividen" masuk sebelum tanggal cum-dividend, mendorong harga naik. Win rate tinggi tapi perlu hati-hati dengan koreksi pasca ex-date.</w:t>
      </w:r>
    </w:p>
    <w:p>
      <w:pPr>
        <w:pBdr>
          <w:left w:val="single" w:color="2980B9" w:sz="20"/>
        </w:pBdr>
        <w:shd w:fill="EBF5FB" w:val="clear"/>
        <w:spacing w:after="120" w:before="120"/>
        <w:ind w:left="360"/>
      </w:pPr>
      <w:r>
        <w:rPr>
          <w:b/>
          <w:bCs/>
          <w:color w:val="2980B9"/>
          <w:sz w:val="22"/>
          <w:szCs w:val="22"/>
        </w:rPr>
        <w:t xml:space="preserve">[LINK: Dividend Hunter: Cara Ambil Dividen Tanpa Terjebak Koreksi Ex-Date]</w:t>
      </w:r>
    </w:p>
    <w:p>
      <w:pPr>
        <w:pStyle w:val="Heading3"/>
        <w:spacing w:after="80" w:before="240"/>
      </w:pPr>
      <w:r>
        <w:rPr>
          <w:b/>
          <w:bCs/>
          <w:color w:val="2980B9"/>
          <w:sz w:val="24"/>
          <w:szCs w:val="24"/>
        </w:rPr>
        <w:t xml:space="preserve">4. Lebaran Effect (Variabel)</w:t>
      </w:r>
    </w:p>
    <w:p>
      <w:pPr>
        <w:spacing w:after="120" w:before="60"/>
      </w:pPr>
      <w:r>
        <w:rPr>
          <w:sz w:val="22"/>
          <w:szCs w:val="22"/>
        </w:rPr>
        <w:t xml:space="preserve">Sebulan sebelum Lebaran, konsumsi domestik meningkat — mendukung saham konsumer, ritel, dan telekomunikasi. Efeknya tidak sekonsisten window dressing karena tanggal Lebaran bergerak setiap tahun (mengikuti kalender Hijriah).</w:t>
      </w:r>
    </w:p>
    <w:p>
      <w:pPr>
        <w:pBdr>
          <w:bottom w:val="single" w:color="AED6F1" w:sz="4" w:space="1"/>
        </w:pBdr>
        <w:spacing w:after="160" w:before="160"/>
      </w:pPr>
    </w:p>
    <w:p>
      <w:pPr>
        <w:pStyle w:val="Heading2"/>
        <w:spacing w:after="140" w:before="340"/>
      </w:pPr>
      <w:r>
        <w:rPr>
          <w:b/>
          <w:bCs/>
          <w:color w:val="1B4F72"/>
          <w:sz w:val="28"/>
          <w:szCs w:val="28"/>
        </w:rPr>
        <w:t xml:space="preserve">Strategi Entry dan Exit yang Benar untuk Window Dressing</w:t>
      </w:r>
    </w:p>
    <w:p>
      <w:pPr>
        <w:spacing w:after="120" w:before="60"/>
      </w:pPr>
      <w:r>
        <w:rPr>
          <w:sz w:val="22"/>
          <w:szCs w:val="22"/>
        </w:rPr>
        <w:t xml:space="preserve">Kebanyakan trader salah kaprah: mereka masuk di awal Desember berharap naik, padahal timing dan saham yang dipilih sering tidak tepat. Berikut framework yang lebih terstruktur:</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Fase</w:t>
            </w:r>
          </w:p>
        </w:tc>
        <w:tc>
          <w:tcPr>
            <w:tcW w:type="dxa" w:w="35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Timing</w:t>
            </w:r>
          </w:p>
        </w:tc>
        <w:tc>
          <w:tcPr>
            <w:tcW w:type="dxa" w:w="35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Aksi</w:t>
            </w:r>
          </w:p>
        </w:tc>
      </w:tr>
      <w:tr>
        <w:tc>
          <w:tcPr>
            <w:tcW w:type="dxa" w:w="2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Persiapan</w:t>
            </w:r>
          </w:p>
        </w:tc>
        <w:tc>
          <w:tcPr>
            <w:tcW w:type="dxa" w:w="35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Minggu 1-2 November</w:t>
            </w:r>
          </w:p>
        </w:tc>
        <w:tc>
          <w:tcPr>
            <w:tcW w:type="dxa" w:w="35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Identifikasi saham top-performer YTD di JII70; cek skor teknikal dan fase Wyckoff</w:t>
            </w:r>
          </w:p>
        </w:tc>
      </w:tr>
      <w:tr>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Entry</w:t>
            </w:r>
          </w:p>
        </w:tc>
        <w:tc>
          <w:tcPr>
            <w:tcW w:type="dxa" w:w="35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Pertengahan November - awal Desember</w:t>
            </w:r>
          </w:p>
        </w:tc>
        <w:tc>
          <w:tcPr>
            <w:tcW w:type="dxa" w:w="35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Entry bertahap; konfirmasi CMF positif dan volume mulai naik</w:t>
            </w:r>
          </w:p>
        </w:tc>
      </w:tr>
      <w:tr>
        <w:tc>
          <w:tcPr>
            <w:tcW w:type="dxa" w:w="2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Hold</w:t>
            </w:r>
          </w:p>
        </w:tc>
        <w:tc>
          <w:tcPr>
            <w:tcW w:type="dxa" w:w="35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1-25 Desember</w:t>
            </w:r>
          </w:p>
        </w:tc>
        <w:tc>
          <w:tcPr>
            <w:tcW w:type="dxa" w:w="35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Hold dengan trailing stop; perketat jika volume mulai turun</w:t>
            </w:r>
          </w:p>
        </w:tc>
      </w:tr>
      <w:tr>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D35400"/>
                <w:sz w:val="20"/>
                <w:szCs w:val="20"/>
              </w:rPr>
              <w:t xml:space="preserve">Exit</w:t>
            </w:r>
          </w:p>
        </w:tc>
        <w:tc>
          <w:tcPr>
            <w:tcW w:type="dxa" w:w="35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Sebelum 28-30 Desember</w:t>
            </w:r>
          </w:p>
        </w:tc>
        <w:tc>
          <w:tcPr>
            <w:tcW w:type="dxa" w:w="35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Ambil profit sebelum akhir tahun; institusi sudah selesai membeli dan mulai tutup posisi</w:t>
            </w:r>
          </w:p>
        </w:tc>
      </w:tr>
      <w:tr>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Januari Effect</w:t>
            </w:r>
          </w:p>
        </w:tc>
        <w:tc>
          <w:tcPr>
            <w:tcW w:type="dxa" w:w="35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Minggu 1-2 Januari</w:t>
            </w:r>
          </w:p>
        </w:tc>
        <w:tc>
          <w:tcPr>
            <w:tcW w:type="dxa" w:w="35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Re-entry di saham small-mid cap yang terkoreksi di akhir Desember (tax loss)</w:t>
            </w:r>
          </w:p>
        </w:tc>
      </w:tr>
    </w:tbl>
    <w:p>
      <w:pPr>
        <w:spacing w:before="160"/>
      </w:pPr>
    </w:p>
    <w:p>
      <w:pPr>
        <w:pBdr>
          <w:left w:val="single" w:color="C0392B" w:sz="20"/>
        </w:pBdr>
        <w:shd w:fill="FDEDEC" w:val="clear"/>
        <w:spacing w:after="120" w:before="120"/>
        <w:ind w:left="360"/>
      </w:pPr>
      <w:r>
        <w:rPr>
          <w:b/>
          <w:bCs/>
          <w:color w:val="C0392B"/>
          <w:sz w:val="22"/>
          <w:szCs w:val="22"/>
        </w:rPr>
        <w:t xml:space="preserve">Exit sebelum tutup tahun: </w:t>
      </w:r>
      <w:r>
        <w:rPr>
          <w:color w:val="333333"/>
          <w:sz w:val="22"/>
          <w:szCs w:val="22"/>
        </w:rPr>
        <w:t xml:space="preserve">ini poin yang paling sering diabaikan. Banyak trader masih hold di akhir Desember berharap naik terus ke Januari — padahal institusi justru mulai take profit dan rebalancing di hari-hari terakhir tahun.</w:t>
      </w:r>
    </w:p>
    <w:p>
      <w:pPr>
        <w:pBdr>
          <w:bottom w:val="single" w:color="AED6F1" w:sz="4" w:space="1"/>
        </w:pBdr>
        <w:spacing w:after="160" w:before="160"/>
      </w:pPr>
    </w:p>
    <w:p>
      <w:pPr>
        <w:pStyle w:val="Heading2"/>
        <w:spacing w:after="140" w:before="340"/>
      </w:pPr>
      <w:r>
        <w:rPr>
          <w:b/>
          <w:bCs/>
          <w:color w:val="1B4F72"/>
          <w:sz w:val="28"/>
          <w:szCs w:val="28"/>
        </w:rPr>
        <w:t xml:space="preserve">Saham Mana yang Paling Responsif terhadap Window Dressing?</w:t>
      </w:r>
    </w:p>
    <w:p>
      <w:pPr>
        <w:spacing w:after="120" w:before="60"/>
      </w:pPr>
      <w:r>
        <w:rPr>
          <w:sz w:val="22"/>
          <w:szCs w:val="22"/>
        </w:rPr>
        <w:t xml:space="preserve">Tidak semua saham sama responsifnya. Beberapa karakteristik saham yang historis paling banyak diuntungkan window dressing di BEI:</w:t>
      </w:r>
    </w:p>
    <w:p>
      <w:pPr>
        <w:pStyle w:val="ListParagraph"/>
        <w:numPr>
          <w:ilvl w:val="0"/>
          <w:numId w:val="2"/>
        </w:numPr>
        <w:spacing w:after="60" w:before="40"/>
      </w:pPr>
      <w:r>
        <w:rPr>
          <w:b/>
          <w:bCs/>
          <w:color w:val="000000"/>
          <w:sz w:val="22"/>
          <w:szCs w:val="22"/>
        </w:rPr>
        <w:t xml:space="preserve">Sudah naik 15%+ YTD: </w:t>
      </w:r>
      <w:r>
        <w:rPr>
          <w:sz w:val="22"/>
          <w:szCs w:val="22"/>
        </w:rPr>
        <w:t xml:space="preserve">institusi memilih saham yang bisa dipamerkan dalam laporan — yang sudah naik, bukan yang murah</w:t>
      </w:r>
    </w:p>
    <w:p>
      <w:pPr>
        <w:pStyle w:val="ListParagraph"/>
        <w:numPr>
          <w:ilvl w:val="0"/>
          <w:numId w:val="2"/>
        </w:numPr>
        <w:spacing w:after="60" w:before="40"/>
      </w:pPr>
      <w:r>
        <w:rPr>
          <w:b/>
          <w:bCs/>
          <w:color w:val="000000"/>
          <w:sz w:val="22"/>
          <w:szCs w:val="22"/>
        </w:rPr>
        <w:t xml:space="preserve">Masuk indeks utama (LQ45 / JII70): </w:t>
      </w:r>
      <w:r>
        <w:rPr>
          <w:sz w:val="22"/>
          <w:szCs w:val="22"/>
        </w:rPr>
        <w:t xml:space="preserve">saham yang sering ada di portofolio reksa dana dan dana pensiun</w:t>
      </w:r>
    </w:p>
    <w:p>
      <w:pPr>
        <w:pStyle w:val="ListParagraph"/>
        <w:numPr>
          <w:ilvl w:val="0"/>
          <w:numId w:val="2"/>
        </w:numPr>
        <w:spacing w:after="60" w:before="40"/>
      </w:pPr>
      <w:r>
        <w:rPr>
          <w:b/>
          <w:bCs/>
          <w:color w:val="000000"/>
          <w:sz w:val="22"/>
          <w:szCs w:val="22"/>
        </w:rPr>
        <w:t xml:space="preserve">Likuiditas tinggi: </w:t>
      </w:r>
      <w:r>
        <w:rPr>
          <w:sz w:val="22"/>
          <w:szCs w:val="22"/>
        </w:rPr>
        <w:t xml:space="preserve">mudah dibeli dalam jumlah besar tanpa menggerakkan harga terlalu jauh</w:t>
      </w:r>
    </w:p>
    <w:p>
      <w:pPr>
        <w:pStyle w:val="ListParagraph"/>
        <w:numPr>
          <w:ilvl w:val="0"/>
          <w:numId w:val="2"/>
        </w:numPr>
        <w:spacing w:after="60" w:before="40"/>
      </w:pPr>
      <w:r>
        <w:rPr>
          <w:b/>
          <w:bCs/>
          <w:color w:val="000000"/>
          <w:sz w:val="22"/>
          <w:szCs w:val="22"/>
        </w:rPr>
        <w:t xml:space="preserve">Sektor konsumer, infrastruktur, dan energi: </w:t>
      </w:r>
      <w:r>
        <w:rPr>
          <w:sz w:val="22"/>
          <w:szCs w:val="22"/>
        </w:rPr>
        <w:t xml:space="preserve">secara historis lebih sering outperform di Desember dibanding sektor finansial dan properti</w:t>
      </w:r>
    </w:p>
    <w:p>
      <w:pPr>
        <w:pBdr>
          <w:left w:val="single" w:color="666666" w:sz="20"/>
        </w:pBdr>
        <w:shd w:fill="F2F3F4" w:val="clear"/>
        <w:spacing w:after="120" w:before="120"/>
        <w:ind w:left="360"/>
      </w:pPr>
      <w:r>
        <w:rPr>
          <w:b/>
          <w:bCs/>
          <w:color w:val="666666"/>
          <w:sz w:val="22"/>
          <w:szCs w:val="22"/>
        </w:rPr>
        <w:t xml:space="preserve">[GAMBAR: Screenshot fitur heatmap musiman di screener — 12 bulan × saham pilihan dengan warna win rate]</w:t>
      </w:r>
    </w:p>
    <w:p>
      <w:pPr>
        <w:pBdr>
          <w:bottom w:val="single" w:color="AED6F1" w:sz="4" w:space="1"/>
        </w:pBdr>
        <w:spacing w:after="160" w:before="160"/>
      </w:pPr>
    </w:p>
    <w:p>
      <w:pPr>
        <w:pStyle w:val="Heading2"/>
        <w:spacing w:after="140" w:before="340"/>
      </w:pPr>
      <w:r>
        <w:rPr>
          <w:b/>
          <w:bCs/>
          <w:color w:val="1B4F72"/>
          <w:sz w:val="28"/>
          <w:szCs w:val="28"/>
        </w:rPr>
        <w:t xml:space="preserve">Cara Praktis Menggunakan Data Musiman: Step by Step</w:t>
      </w:r>
    </w:p>
    <w:p>
      <w:pPr>
        <w:pStyle w:val="ListParagraph"/>
        <w:numPr>
          <w:ilvl w:val="0"/>
          <w:numId w:val="3"/>
        </w:numPr>
        <w:spacing w:after="60" w:before="40"/>
      </w:pPr>
      <w:r>
        <w:rPr>
          <w:sz w:val="22"/>
          <w:szCs w:val="22"/>
        </w:rPr>
        <w:t xml:space="preserve">Buka fitur analisis musiman di screener — lihat win rate per bulan untuk saham yang kamu targetkan</w:t>
      </w:r>
    </w:p>
    <w:p>
      <w:pPr>
        <w:pStyle w:val="ListParagraph"/>
        <w:numPr>
          <w:ilvl w:val="0"/>
          <w:numId w:val="3"/>
        </w:numPr>
        <w:spacing w:after="60" w:before="40"/>
      </w:pPr>
      <w:r>
        <w:rPr>
          <w:sz w:val="22"/>
          <w:szCs w:val="22"/>
        </w:rPr>
        <w:t xml:space="preserve">Konfirmasi win rate Desember ≥ 60% untuk saham spesifik yang kamu pilih (bukan hanya IHSG)</w:t>
      </w:r>
    </w:p>
    <w:p>
      <w:pPr>
        <w:pStyle w:val="ListParagraph"/>
        <w:numPr>
          <w:ilvl w:val="0"/>
          <w:numId w:val="3"/>
        </w:numPr>
        <w:spacing w:after="60" w:before="40"/>
      </w:pPr>
      <w:r>
        <w:rPr>
          <w:sz w:val="22"/>
          <w:szCs w:val="22"/>
        </w:rPr>
        <w:t xml:space="preserve">Identifikasi saham JII70 yang sudah naik 15%+ YTD dengan skor teknikal ≥7</w:t>
      </w:r>
    </w:p>
    <w:p>
      <w:pPr>
        <w:pStyle w:val="ListParagraph"/>
        <w:numPr>
          <w:ilvl w:val="0"/>
          <w:numId w:val="3"/>
        </w:numPr>
        <w:spacing w:after="60" w:before="40"/>
      </w:pPr>
      <w:r>
        <w:rPr>
          <w:b/>
          <w:bCs/>
          <w:color w:val="000000"/>
          <w:sz w:val="22"/>
          <w:szCs w:val="22"/>
        </w:rPr>
        <w:t xml:space="preserve">Entry Oktober-November: </w:t>
      </w:r>
      <w:r>
        <w:rPr>
          <w:sz w:val="22"/>
          <w:szCs w:val="22"/>
        </w:rPr>
        <w:t xml:space="preserve">jangan tunggu Desember; pre-positioning lebih awal memberikan entry lebih murah</w:t>
      </w:r>
    </w:p>
    <w:p>
      <w:pPr>
        <w:pStyle w:val="ListParagraph"/>
        <w:numPr>
          <w:ilvl w:val="0"/>
          <w:numId w:val="3"/>
        </w:numPr>
        <w:spacing w:after="60" w:before="40"/>
      </w:pPr>
      <w:r>
        <w:rPr>
          <w:sz w:val="22"/>
          <w:szCs w:val="22"/>
        </w:rPr>
        <w:t xml:space="preserve">Konfirmasi dengan fase Wyckoff (bukan Distribusi) dan CMF positif</w:t>
      </w:r>
    </w:p>
    <w:p>
      <w:pPr>
        <w:pStyle w:val="ListParagraph"/>
        <w:numPr>
          <w:ilvl w:val="0"/>
          <w:numId w:val="3"/>
        </w:numPr>
        <w:spacing w:after="60" w:before="40"/>
      </w:pPr>
      <w:r>
        <w:rPr>
          <w:sz w:val="22"/>
          <w:szCs w:val="22"/>
        </w:rPr>
        <w:t xml:space="preserve">Pasang trailing stop — perketat secara bertahap mulai tanggal 20 Desember</w:t>
      </w:r>
    </w:p>
    <w:p>
      <w:pPr>
        <w:pStyle w:val="ListParagraph"/>
        <w:numPr>
          <w:ilvl w:val="0"/>
          <w:numId w:val="3"/>
        </w:numPr>
        <w:spacing w:after="60" w:before="40"/>
      </w:pPr>
      <w:r>
        <w:rPr>
          <w:b/>
          <w:bCs/>
          <w:color w:val="000000"/>
          <w:sz w:val="22"/>
          <w:szCs w:val="22"/>
        </w:rPr>
        <w:t xml:space="preserve">Exit sebelum 28 Desember: </w:t>
      </w:r>
      <w:r>
        <w:rPr>
          <w:sz w:val="22"/>
          <w:szCs w:val="22"/>
        </w:rPr>
        <w:t xml:space="preserve">jangan terlalu rakus; ambil profit sebelum institusi mulai keluar</w:t>
      </w:r>
    </w:p>
    <w:p>
      <w:pPr>
        <w:pStyle w:val="ListParagraph"/>
        <w:numPr>
          <w:ilvl w:val="0"/>
          <w:numId w:val="3"/>
        </w:numPr>
        <w:spacing w:after="60" w:before="40"/>
      </w:pPr>
      <w:r>
        <w:rPr>
          <w:sz w:val="22"/>
          <w:szCs w:val="22"/>
        </w:rPr>
        <w:t xml:space="preserve">Evaluasi January Effect untuk re-entry di saham small-mid cap yang oversold di akhir Desember</w:t>
      </w:r>
    </w:p>
    <w:p>
      <w:pPr>
        <w:pBdr>
          <w:bottom w:val="single" w:color="AED6F1" w:sz="4" w:space="1"/>
        </w:pBdr>
        <w:spacing w:after="160" w:before="160"/>
      </w:pPr>
    </w:p>
    <w:p>
      <w:pPr>
        <w:pStyle w:val="Heading2"/>
        <w:spacing w:after="140" w:before="340"/>
      </w:pPr>
      <w:r>
        <w:rPr>
          <w:b/>
          <w:bCs/>
          <w:color w:val="1B4F72"/>
          <w:sz w:val="28"/>
          <w:szCs w:val="28"/>
        </w:rPr>
        <w:t xml:space="preserve">Kesalahan Umum dalam Strategi Window Dressing</w:t>
      </w:r>
    </w:p>
    <w:p>
      <w:pPr>
        <w:pStyle w:val="ListParagraph"/>
        <w:numPr>
          <w:ilvl w:val="0"/>
          <w:numId w:val="2"/>
        </w:numPr>
        <w:spacing w:after="60" w:before="40"/>
      </w:pPr>
      <w:r>
        <w:rPr>
          <w:b/>
          <w:bCs/>
          <w:color w:val="000000"/>
          <w:sz w:val="22"/>
          <w:szCs w:val="22"/>
        </w:rPr>
        <w:t xml:space="preserve">Masuk terlalu terlambat </w:t>
      </w:r>
      <w:r>
        <w:rPr>
          <w:sz w:val="22"/>
          <w:szCs w:val="22"/>
        </w:rPr>
        <w:t xml:space="preserve">— beli di minggu ke-3 Desember ketika saham sudah naik banyak dan R/R tidak lagi menarik</w:t>
      </w:r>
    </w:p>
    <w:p>
      <w:pPr>
        <w:pStyle w:val="ListParagraph"/>
        <w:numPr>
          <w:ilvl w:val="0"/>
          <w:numId w:val="2"/>
        </w:numPr>
        <w:spacing w:after="60" w:before="40"/>
      </w:pPr>
      <w:r>
        <w:rPr>
          <w:b/>
          <w:bCs/>
          <w:color w:val="000000"/>
          <w:sz w:val="22"/>
          <w:szCs w:val="22"/>
        </w:rPr>
        <w:t xml:space="preserve">Memilih saham yang salah </w:t>
      </w:r>
      <w:r>
        <w:rPr>
          <w:sz w:val="22"/>
          <w:szCs w:val="22"/>
        </w:rPr>
        <w:t xml:space="preserve">— beli saham yang murah (undervalued), padahal institusi justru beli yang sudah naik</w:t>
      </w:r>
    </w:p>
    <w:p>
      <w:pPr>
        <w:pStyle w:val="ListParagraph"/>
        <w:numPr>
          <w:ilvl w:val="0"/>
          <w:numId w:val="2"/>
        </w:numPr>
        <w:spacing w:after="60" w:before="40"/>
      </w:pPr>
      <w:r>
        <w:rPr>
          <w:b/>
          <w:bCs/>
          <w:color w:val="000000"/>
          <w:sz w:val="22"/>
          <w:szCs w:val="22"/>
        </w:rPr>
        <w:t xml:space="preserve">Tidak punya exit plan </w:t>
      </w:r>
      <w:r>
        <w:rPr>
          <w:sz w:val="22"/>
          <w:szCs w:val="22"/>
        </w:rPr>
        <w:t xml:space="preserve">— hold sampai awal Januari berharap naik terus, tapi akhirnya kena koreksi</w:t>
      </w:r>
    </w:p>
    <w:p>
      <w:pPr>
        <w:pStyle w:val="ListParagraph"/>
        <w:numPr>
          <w:ilvl w:val="0"/>
          <w:numId w:val="2"/>
        </w:numPr>
        <w:spacing w:after="60" w:before="40"/>
      </w:pPr>
      <w:r>
        <w:rPr>
          <w:b/>
          <w:bCs/>
          <w:color w:val="000000"/>
          <w:sz w:val="22"/>
          <w:szCs w:val="22"/>
        </w:rPr>
        <w:t xml:space="preserve">Over-confidence pada pola musiman </w:t>
      </w:r>
      <w:r>
        <w:rPr>
          <w:sz w:val="22"/>
          <w:szCs w:val="22"/>
        </w:rPr>
        <w:t xml:space="preserve">— win rate 74% berarti 26% tahun TIDAK naik; tetap pakai stop loss</w:t>
      </w:r>
    </w:p>
    <w:p>
      <w:pPr>
        <w:pStyle w:val="ListParagraph"/>
        <w:numPr>
          <w:ilvl w:val="0"/>
          <w:numId w:val="2"/>
        </w:numPr>
        <w:spacing w:after="60" w:before="40"/>
      </w:pPr>
      <w:r>
        <w:rPr>
          <w:b/>
          <w:bCs/>
          <w:color w:val="000000"/>
          <w:sz w:val="22"/>
          <w:szCs w:val="22"/>
        </w:rPr>
        <w:t xml:space="preserve">Mengabaikan kondisi makro tahun berjalan </w:t>
      </w:r>
      <w:r>
        <w:rPr>
          <w:sz w:val="22"/>
          <w:szCs w:val="22"/>
        </w:rPr>
        <w:t xml:space="preserve">— window dressing di tahun krisis (seperti 2020 awal) jauh lebih lemah; konteks makro tetap penting</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Window dressing Desember adalah fakta yang terdokumentasi di BEI — bukan sekadar mitos. Data historis 10 tahun menunjukkan win rate 74%, tertinggi sepanjang tahun. Tapi cara memanfaatkannya yang kebanyakan trader lakukan (masuk Desember, beli saham murah) justru sering salah.</w:t>
      </w:r>
    </w:p>
    <w:p>
      <w:pPr>
        <w:spacing w:after="120" w:before="60"/>
      </w:pPr>
      <w:r>
        <w:rPr>
          <w:sz w:val="22"/>
          <w:szCs w:val="22"/>
        </w:rPr>
        <w:t xml:space="preserve">Strategi yang benar adalah pre-positioning di Oktober-November di saham JII70 top-performer yang sudah punya momentum teknikal kuat, lalu exit sebelum akhir Desember sebelum institusi selesai dan mulai take profit. Sederhana, tapi butuh disiplin timing yang ketat.</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melihat heatmap win rate musiman seluruh saham IDX — analisis pola Desember, Maret-April, dan bulan lainnya — kunjungi </w:t>
      </w:r>
      <w:hyperlink w:history="1" r:id="rIdqsv5_krpc5wpmuiupnogw">
        <w:r>
          <w:rPr>
            <w:b/>
            <w:bCs/>
            <w:color w:val="2980B9"/>
            <w:sz w:val="22"/>
            <w:szCs w:val="22"/>
            <w:u w:val="single"/>
          </w:rPr>
          <w:t xml:space="preserve">Ultimate Smart Money Analyst (smartscreener.streamlit.app)</w:t>
        </w:r>
      </w:hyperlink>
      <w:r>
        <w:rPr>
          <w:sz w:val="22"/>
          <w:szCs w:val="22"/>
        </w:rPr>
        <w:t xml:space="preserve">, screener saham syariah berbasis AI.</w:t>
      </w:r>
    </w:p>
    <w:p>
      <w:pPr>
        <w:pBdr>
          <w:bottom w:val="single" w:color="AED6F1" w:sz="4" w:space="1"/>
        </w:pBdr>
        <w:spacing w:after="160" w:before="160"/>
      </w:pPr>
    </w:p>
    <w:p>
      <w:pPr>
        <w:pStyle w:val="Heading2"/>
        <w:spacing w:after="140" w:before="340"/>
      </w:pPr>
      <w:r>
        <w:rPr>
          <w:b/>
          <w:bCs/>
          <w:color w:val="1B4F72"/>
          <w:sz w:val="28"/>
          <w:szCs w:val="28"/>
        </w:rPr>
        <w:t xml:space="preserve">FAQ: Window Dressing Saham</w:t>
      </w:r>
    </w:p>
    <w:p>
      <w:pPr>
        <w:spacing w:before="80"/>
      </w:pPr>
    </w:p>
    <w:p>
      <w:pPr>
        <w:spacing w:after="40" w:before="80"/>
      </w:pPr>
      <w:r>
        <w:rPr>
          <w:b/>
          <w:bCs/>
          <w:color w:val="2980B9"/>
          <w:sz w:val="22"/>
          <w:szCs w:val="22"/>
        </w:rPr>
        <w:t xml:space="preserve">Q: Apakah window dressing juga terjadi di akhir kuartal selain Desember?</w:t>
      </w:r>
    </w:p>
    <w:p>
      <w:pPr>
        <w:spacing w:after="120" w:before="60"/>
      </w:pPr>
      <w:r>
        <w:rPr>
          <w:sz w:val="22"/>
          <w:szCs w:val="22"/>
        </w:rPr>
        <w:t xml:space="preserve">A: Ya, tapi intensitasnya jauh lebih kecil. Akhir Maret (Q1), Juni (Q2), dan September (Q3) juga ada aksi window dressing, tapi karena bukan tutup tahun fiskal, dampaknya terhadap harga biasanya lebih terbatas dan kurang konsisten dibanding Desember.</w:t>
      </w:r>
    </w:p>
    <w:p>
      <w:pPr>
        <w:spacing w:after="40" w:before="160"/>
      </w:pPr>
      <w:r>
        <w:rPr>
          <w:b/>
          <w:bCs/>
          <w:color w:val="2980B9"/>
          <w:sz w:val="22"/>
          <w:szCs w:val="22"/>
        </w:rPr>
        <w:t xml:space="preserve">Q: Bagaimana jika IHSG sedang downtrend di Desember — apakah window dressing masih terjadi?</w:t>
      </w:r>
    </w:p>
    <w:p>
      <w:pPr>
        <w:spacing w:after="120" w:before="60"/>
      </w:pPr>
      <w:r>
        <w:rPr>
          <w:sz w:val="22"/>
          <w:szCs w:val="22"/>
        </w:rPr>
        <w:t xml:space="preserve">A: Window dressing tetap terjadi (institusi tetap butuh mempercantik laporan), tapi dampaknya jauh lebih terbatas. Di tahun-tahun di mana IHSG turun secara keseluruhan, window dressing Desember biasanya hanya menghasilkan rebound kecil, bukan rally besar. Ini salah satu dari 26% tahun di mana pola ini gagal.</w:t>
      </w:r>
    </w:p>
    <w:p>
      <w:pPr>
        <w:spacing w:after="40" w:before="160"/>
      </w:pPr>
      <w:r>
        <w:rPr>
          <w:b/>
          <w:bCs/>
          <w:color w:val="2980B9"/>
          <w:sz w:val="22"/>
          <w:szCs w:val="22"/>
        </w:rPr>
        <w:t xml:space="preserve">Q: Apakah saham syariah (JII70) ikut naik saat window dressing?</w:t>
      </w:r>
    </w:p>
    <w:p>
      <w:pPr>
        <w:spacing w:after="120" w:before="60"/>
      </w:pPr>
      <w:r>
        <w:rPr>
          <w:sz w:val="22"/>
          <w:szCs w:val="22"/>
        </w:rPr>
        <w:t xml:space="preserve">A: Ya — sebagian besar saham JII70 juga masuk LQ45 dan portofolio reksa dana. Bahkan beberapa reksa dana syariah yang melakukan window dressing hanya bisa membeli saham yang masuk daftar syariah, sehingga justru ada tekanan beli ekstra di saham-saham JII70 top-performer.</w:t>
      </w:r>
    </w:p>
    <w:p>
      <w:pPr>
        <w:pBdr>
          <w:bottom w:val="single" w:color="AED6F1" w:sz="4" w:space="1"/>
        </w:pBdr>
        <w:spacing w:after="160" w:before="160"/>
      </w:pPr>
    </w:p>
    <w:p>
      <w:pPr>
        <w:spacing w:before="60"/>
        <w:jc w:val="center"/>
      </w:pPr>
      <w:r>
        <w:rPr>
          <w:color w:val="666666"/>
          <w:sz w:val="18"/>
          <w:szCs w:val="18"/>
        </w:rPr>
        <w:t xml:space="preserve">Artikel SEO | versokit.com  |  Seri: Musiman &amp; Timing  |  App: </w:t>
      </w:r>
      <w:hyperlink w:history="1" r:id="rIdf52xxiskbwrg2hn88ppqi">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sv5_krpc5wpmuiupnogw" Type="http://schemas.openxmlformats.org/officeDocument/2006/relationships/hyperlink" Target="https://smartscreener.streamlit.app" TargetMode="External"/><Relationship Id="rIdf52xxiskbwrg2hn88ppqi"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2026-06-03T09:25:53.118Z</dcterms:created>
  <dcterms:modified xsi:type="dcterms:W3CDTF">2026-06-03T09:25:53.118Z</dcterms:modified>
</cp:coreProperties>
</file>

<file path=docProps/custom.xml><?xml version="1.0" encoding="utf-8"?>
<Properties xmlns="http://schemas.openxmlformats.org/officeDocument/2006/custom-properties" xmlns:vt="http://schemas.openxmlformats.org/officeDocument/2006/docPropsVTypes"/>
</file>