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80" w:before="0"/>
      </w:pPr>
      <w:r>
        <w:rPr>
          <w:b/>
          <w:bCs/>
          <w:color w:val="1B4F72"/>
          <w:sz w:val="38"/>
          <w:szCs w:val="38"/>
        </w:rPr>
        <w:t xml:space="preserve">Cara Baca Sinyal STRONG BUY vs BUY: Bukan Sekadar Warna Hijau</w:t>
      </w:r>
    </w:p>
    <w:p>
      <w:pPr>
        <w:spacing w:after="200" w:before="0"/>
      </w:pPr>
      <w:r>
        <w:rPr>
          <w:b/>
          <w:bCs/>
          <w:color w:val="666666"/>
          <w:sz w:val="18"/>
          <w:szCs w:val="18"/>
        </w:rPr>
        <w:t xml:space="preserve">Keyword: </w:t>
      </w:r>
      <w:r>
        <w:rPr>
          <w:color w:val="666666"/>
          <w:sz w:val="18"/>
          <w:szCs w:val="18"/>
        </w:rPr>
        <w:t xml:space="preserve">sinyal beli saham, analisis teknikal saham  |  </w:t>
      </w:r>
      <w:r>
        <w:rPr>
          <w:b/>
          <w:bCs/>
          <w:color w:val="666666"/>
          <w:sz w:val="18"/>
          <w:szCs w:val="18"/>
        </w:rPr>
        <w:t xml:space="preserve">Cluster: </w:t>
      </w:r>
      <w:r>
        <w:rPr>
          <w:color w:val="666666"/>
          <w:sz w:val="18"/>
          <w:szCs w:val="18"/>
        </w:rPr>
        <w:t>Super Screener &amp; Sinyal  |  Target: Trader aktif, pengguna screener</w:t>
      </w:r>
    </w:p>
    <w:p>
      <w:pPr>
        <w:pBdr>
          <w:bottom w:val="single" w:color="AED6F1" w:sz="4" w:space="1"/>
        </w:pBdr>
        <w:spacing w:after="160" w:before="160"/>
      </w:pPr>
    </w:p>
    <w:p>
      <w:pPr>
        <w:spacing w:after="120" w:before="60"/>
      </w:pPr>
      <w:r>
        <w:rPr>
          <w:sz w:val="22"/>
          <w:szCs w:val="22"/>
        </w:rPr>
        <w:t xml:space="preserve">Dua saham sama-sama berwarna hijau di screener, sama-sama bertuliskan "BUY". Kamu beli keduanya. Satu naik 12% dalam seminggu, yang lain malah turun 8%. Apa yang berbeda?</w:t>
      </w:r>
    </w:p>
    <w:p>
      <w:pPr>
        <w:spacing w:after="120" w:before="60"/>
      </w:pPr>
      <w:r>
        <w:rPr>
          <w:sz w:val="22"/>
          <w:szCs w:val="22"/>
        </w:rPr>
        <w:t xml:space="preserve">Jawabannya bukan di warnanya — tapi di kualitas sinyal di baliknya. Sinyal BUY yang lemah dan sinyal BUY yang kuat tampilannya bisa identik di permukaan, tapi sangat berbeda kalau ditelusuri komponennya.</w:t>
      </w:r>
    </w:p>
    <w:p>
      <w:pPr>
        <w:spacing w:after="120" w:before="60"/>
      </w:pPr>
      <w:r>
        <w:rPr>
          <w:sz w:val="22"/>
          <w:szCs w:val="22"/>
        </w:rPr>
        <w:t xml:space="preserve">Artikel ini menjelaskan cara membaca sinyal beli saham secara benar — memahami perbedaan STRONG BUY dan BUY, apa yang membentuknya, dan kapan sinyal tersebut layak dieksekusi atau justru harus diabaikan.</w:t>
      </w:r>
    </w:p>
    <w:p>
      <w:pPr>
        <w:pBdr>
          <w:bottom w:val="single" w:color="AED6F1" w:sz="4" w:space="1"/>
        </w:pBdr>
        <w:spacing w:after="160" w:before="160"/>
      </w:pPr>
    </w:p>
    <w:p>
      <w:pPr>
        <w:pStyle w:val="Heading2"/>
        <w:spacing w:after="140" w:before="340"/>
      </w:pPr>
      <w:r>
        <w:rPr>
          <w:b/>
          <w:bCs/>
          <w:color w:val="1B4F72"/>
          <w:sz w:val="28"/>
          <w:szCs w:val="28"/>
        </w:rPr>
        <w:t xml:space="preserve">Apa Itu Sistem Sinyal Berbasis Scoring?</w:t>
      </w:r>
    </w:p>
    <w:p>
      <w:pPr>
        <w:spacing w:after="120" w:before="60"/>
      </w:pPr>
      <w:r>
        <w:rPr>
          <w:sz w:val="22"/>
          <w:szCs w:val="22"/>
        </w:rPr>
        <w:t xml:space="preserve">Ultimate Smart Money Analyst tidak sekadar menampilkan sinyal beli atau jual — setiap sinyal dihasilkan dari sistem scoring 6 komponen teknikal yang masing-masing berkontribusi skor tertentu. Total skor inilah yang menentukan status akhir sebuah saham.</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000"/>
        <w:gridCol w:w="4770"/>
      </w:tblGrid>
      <w:tr>
        <w:trPr>
          <w:tblHeader/>
        </w:trPr>
        <w:tc>
          <w:tcPr>
            <w:tcW w:type="dxa" w:w="2256"/>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Status</w:t>
            </w:r>
          </w:p>
        </w:tc>
        <w:tc>
          <w:tcPr>
            <w:tcW w:type="dxa" w:w="20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Skor</w:t>
            </w:r>
          </w:p>
        </w:tc>
        <w:tc>
          <w:tcPr>
            <w:tcW w:type="dxa" w:w="477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Arti Praktis</w:t>
            </w:r>
          </w:p>
        </w:tc>
      </w:tr>
      <w:tr>
        <w:tc>
          <w:tcPr>
            <w:tcW w:type="dxa" w:w="2256"/>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bCs/>
                <w:color w:val="145A32"/>
                <w:sz w:val="20"/>
                <w:szCs w:val="20"/>
              </w:rPr>
              <w:t xml:space="preserve">STRONG BUY</w:t>
            </w:r>
          </w:p>
        </w:tc>
        <w:tc>
          <w:tcPr>
            <w:tcW w:type="dxa" w:w="20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&gt;= 9</w:t>
            </w:r>
          </w:p>
        </w:tc>
        <w:tc>
          <w:tcPr>
            <w:tcW w:type="dxa" w:w="477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Semua atau hampir semua komponen konfirmasi — sinyal paling kuat</w:t>
            </w:r>
          </w:p>
        </w:tc>
      </w:tr>
      <w:tr>
        <w:tc>
          <w:tcPr>
            <w:tcW w:type="dxa" w:w="2256"/>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bCs/>
                <w:color w:val="1E8449"/>
                <w:sz w:val="20"/>
                <w:szCs w:val="20"/>
              </w:rPr>
              <w:t xml:space="preserve">BUY</w:t>
            </w:r>
          </w:p>
        </w:tc>
        <w:tc>
          <w:tcPr>
            <w:tcW w:type="dxa" w:w="20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&gt;= 6</w:t>
            </w:r>
          </w:p>
        </w:tc>
        <w:tc>
          <w:tcPr>
            <w:tcW w:type="dxa" w:w="477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Mayoritas komponen mendukung — layak dipertimbangkan dengan filter tambahan</w:t>
            </w:r>
          </w:p>
        </w:tc>
      </w:tr>
      <w:tr>
        <w:tc>
          <w:tcPr>
            <w:tcW w:type="dxa" w:w="2256"/>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bCs/>
                <w:color w:val="9A7D0A"/>
                <w:sz w:val="20"/>
                <w:szCs w:val="20"/>
              </w:rPr>
              <w:t xml:space="preserve">NEUTRAL</w:t>
            </w:r>
          </w:p>
        </w:tc>
        <w:tc>
          <w:tcPr>
            <w:tcW w:type="dxa" w:w="20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&gt;= 3.5</w:t>
            </w:r>
          </w:p>
        </w:tc>
        <w:tc>
          <w:tcPr>
            <w:tcW w:type="dxa" w:w="477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Sinyal campuran — belum ada konfirmasi arah yang jelas, wait and see</w:t>
            </w:r>
          </w:p>
        </w:tc>
      </w:tr>
      <w:tr>
        <w:tc>
          <w:tcPr>
            <w:tcW w:type="dxa" w:w="2256"/>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bCs/>
                <w:color w:val="C0392B"/>
                <w:sz w:val="20"/>
                <w:szCs w:val="20"/>
              </w:rPr>
              <w:t xml:space="preserve">WAIT</w:t>
            </w:r>
          </w:p>
        </w:tc>
        <w:tc>
          <w:tcPr>
            <w:tcW w:type="dxa" w:w="20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&lt; 3.5</w:t>
            </w:r>
          </w:p>
        </w:tc>
        <w:tc>
          <w:tcPr>
            <w:tcW w:type="dxa" w:w="477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Mayoritas komponen negatif — hindari posisi baru, awasi potensi downside</w:t>
            </w:r>
          </w:p>
        </w:tc>
      </w:tr>
    </w:tbl>
    <w:p>
      <w:pPr>
        <w:spacing w:before="160"/>
      </w:pPr>
    </w:p>
    <w:p>
      <w:pPr>
        <w:pBdr>
          <w:left w:val="single" w:color="2980B9" w:sz="20"/>
        </w:pBdr>
        <w:shd w:fill="D6EAF8" w:val="clear"/>
        <w:spacing w:after="120" w:before="120"/>
        <w:ind w:left="360"/>
      </w:pPr>
      <w:r>
        <w:rPr>
          <w:b/>
          <w:bCs/>
          <w:color w:val="000000"/>
          <w:sz w:val="22"/>
          <w:szCs w:val="22"/>
        </w:rPr>
        <w:t xml:space="preserve">Kunci: </w:t>
      </w:r>
      <w:r>
        <w:rPr>
          <w:color w:val="333333"/>
          <w:sz w:val="22"/>
          <w:szCs w:val="22"/>
        </w:rPr>
        <w:t xml:space="preserve">skor ≥6 dan ≥9 tidak terpisah jauh secara angka, tapi sangat berbeda secara kualitas. Skor 6 berarti 3–4 komponen mendukung; skor 9 berarti 5–6 komponen sekaligus konfirmasi.</w:t>
      </w:r>
    </w:p>
    <w:p>
      <w:pPr>
        <w:pBdr>
          <w:bottom w:val="single" w:color="AED6F1" w:sz="4" w:space="1"/>
        </w:pBdr>
        <w:spacing w:after="160" w:before="160"/>
      </w:pPr>
    </w:p>
    <w:p>
      <w:pPr>
        <w:pStyle w:val="Heading2"/>
        <w:spacing w:after="140" w:before="340"/>
      </w:pPr>
      <w:r>
        <w:rPr>
          <w:b/>
          <w:bCs/>
          <w:color w:val="1B4F72"/>
          <w:sz w:val="28"/>
          <w:szCs w:val="28"/>
        </w:rPr>
        <w:t xml:space="preserve">6 Komponen Sinyal Beli Saham: Apa yang Dihitung?</w:t>
      </w:r>
    </w:p>
    <w:p>
      <w:pPr>
        <w:spacing w:after="120" w:before="60"/>
      </w:pPr>
      <w:r>
        <w:rPr>
          <w:sz w:val="22"/>
          <w:szCs w:val="22"/>
        </w:rPr>
        <w:t xml:space="preserve">Setiap komponen bekerja secara independen, masing-masing membaca aspek berbeda dari pergerakan harga dan volume. Inilah yang membuat sinyal ini lebih tahan noise dibanding indikator tunggal.</w:t>
      </w:r>
    </w:p>
    <w:p>
      <w:pPr>
        <w:spacing w:before="80"/>
      </w:pPr>
    </w:p>
    <w:p>
      <w:pPr>
        <w:pStyle w:val="Heading3"/>
        <w:spacing w:after="80" w:before="240"/>
      </w:pPr>
      <w:r>
        <w:rPr>
          <w:b/>
          <w:bCs/>
          <w:color w:val="2980B9"/>
          <w:sz w:val="24"/>
          <w:szCs w:val="24"/>
        </w:rPr>
        <w:t xml:space="preserve">1. Moving Average (MA) — Konfirmasi Tren Jangka Menengah</w:t>
      </w:r>
    </w:p>
    <w:p>
      <w:pPr>
        <w:spacing w:after="120" w:before="60"/>
      </w:pPr>
      <w:r>
        <w:rPr>
          <w:sz w:val="22"/>
          <w:szCs w:val="22"/>
        </w:rPr>
        <w:t xml:space="preserve">Mengukur posisi harga saat ini terhadap MA20, MA50, dan EMA200. Skor tinggi ketika harga berada di atas ketiga level ini secara berurutan — menandakan tren naik yang terstruktur dari jangka pendek hingga panjang.</w:t>
      </w:r>
    </w:p>
    <w:p>
      <w:pPr>
        <w:pBdr>
          <w:left w:val="single" w:color="666666" w:sz="20"/>
        </w:pBdr>
        <w:shd w:fill="F2F3F4" w:val="clear"/>
        <w:spacing w:after="120" w:before="120"/>
        <w:ind w:left="360"/>
      </w:pPr>
      <w:r>
        <w:rPr>
          <w:b/>
          <w:bCs/>
          <w:color w:val="666666"/>
          <w:sz w:val="22"/>
          <w:szCs w:val="22"/>
        </w:rPr>
        <w:t xml:space="preserve">[GAMBAR: Chart candlestick dengan 3 garis MA (MA20, MA50, EMA200) dan harga di atas ketiganya]</w:t>
      </w:r>
    </w:p>
    <w:p>
      <w:pPr>
        <w:pStyle w:val="Heading3"/>
        <w:spacing w:after="80" w:before="240"/>
      </w:pPr>
      <w:r>
        <w:rPr>
          <w:b/>
          <w:bCs/>
          <w:color w:val="2980B9"/>
          <w:sz w:val="24"/>
          <w:szCs w:val="24"/>
        </w:rPr>
        <w:t xml:space="preserve">2. Donchian Channel — Deteksi Breakout</w:t>
      </w:r>
    </w:p>
    <w:p>
      <w:pPr>
        <w:spacing w:after="120" w:before="60"/>
      </w:pPr>
      <w:r>
        <w:rPr>
          <w:sz w:val="22"/>
          <w:szCs w:val="22"/>
        </w:rPr>
        <w:t xml:space="preserve">Donchian Channel mengukur high dan low harga dalam 20 hari terakhir. Ketika harga menembus batas atas channel, ini mengindikasikan breakout ke level tertinggi baru — salah satu sinyal paling objektif dalam analisis teknikal saham karena berbasis harga murni tanpa formula rumit.</w:t>
      </w:r>
    </w:p>
    <w:p>
      <w:pPr>
        <w:pBdr>
          <w:left w:val="single" w:color="2980B9" w:sz="20"/>
        </w:pBdr>
        <w:shd w:fill="EBF5FB" w:val="clear"/>
        <w:spacing w:after="120" w:before="120"/>
        <w:ind w:left="360"/>
      </w:pPr>
      <w:r>
        <w:rPr>
          <w:b/>
          <w:bCs/>
          <w:color w:val="2980B9"/>
          <w:sz w:val="22"/>
          <w:szCs w:val="22"/>
        </w:rPr>
        <w:t xml:space="preserve">[LINK: Donchian Channel: Indikator Breakout yang Sering Diabaikan — penjelasan lengkap cara kerja Donchian]</w:t>
      </w:r>
    </w:p>
    <w:p>
      <w:pPr>
        <w:pStyle w:val="Heading3"/>
        <w:spacing w:after="80" w:before="240"/>
      </w:pPr>
      <w:r>
        <w:rPr>
          <w:b/>
          <w:bCs/>
          <w:color w:val="2980B9"/>
          <w:sz w:val="24"/>
          <w:szCs w:val="24"/>
        </w:rPr>
        <w:t xml:space="preserve">3. CMF (Chaikin Money Flow) — Tekanan Akumulasi Institusi</w:t>
      </w:r>
    </w:p>
    <w:p>
      <w:pPr>
        <w:spacing w:after="120" w:before="60"/>
      </w:pPr>
      <w:r>
        <w:rPr>
          <w:sz w:val="22"/>
          <w:szCs w:val="22"/>
        </w:rPr>
        <w:t xml:space="preserve">CMF mengukur apakah uang mengalir masuk atau keluar dari saham dengan menggabungkan harga dan volume. Nilai CMF positif (di atas 0) menandakan tekanan beli mendominasi — sering kali mencerminkan akumulasi oleh pemain institusi sebelum pergerakan besar terjadi.</w:t>
      </w:r>
    </w:p>
    <w:p>
      <w:pPr>
        <w:pStyle w:val="Heading3"/>
        <w:spacing w:after="80" w:before="240"/>
      </w:pPr>
      <w:r>
        <w:rPr>
          <w:b/>
          <w:bCs/>
          <w:color w:val="2980B9"/>
          <w:sz w:val="24"/>
          <w:szCs w:val="24"/>
        </w:rPr>
        <w:t xml:space="preserve">4. RSI — Momentum dan Kondisi Overbought/Oversold</w:t>
      </w:r>
    </w:p>
    <w:p>
      <w:pPr>
        <w:spacing w:after="120" w:before="60"/>
      </w:pPr>
      <w:r>
        <w:rPr>
          <w:sz w:val="22"/>
          <w:szCs w:val="22"/>
        </w:rPr>
        <w:t xml:space="preserve">RSI mengukur kecepatan dan kekuatan perubahan harga dalam skala 0–100. Skor tinggi diberikan ketika RSI berada di zona momentum positif (40–70) — cukup kuat untuk melanjutkan naik, tapi belum overbought. RSI di atas 70 justru dapat mengurangi skor karena risiko koreksi meningkat.</w:t>
      </w:r>
    </w:p>
    <w:p>
      <w:pPr>
        <w:pBdr>
          <w:left w:val="single" w:color="2980B9" w:sz="20"/>
        </w:pBdr>
        <w:shd w:fill="EBF5FB" w:val="clear"/>
        <w:spacing w:after="120" w:before="120"/>
        <w:ind w:left="360"/>
      </w:pPr>
      <w:r>
        <w:rPr>
          <w:b/>
          <w:bCs/>
          <w:color w:val="2980B9"/>
          <w:sz w:val="22"/>
          <w:szCs w:val="22"/>
        </w:rPr>
        <w:t xml:space="preserve">[LINK: RSI Divergence: Cara Mendeteksi Pembalikan Arah Sebelum Semua Orang Tahu — lanjutan strategi RSI]</w:t>
      </w:r>
    </w:p>
    <w:p>
      <w:pPr>
        <w:pStyle w:val="Heading3"/>
        <w:spacing w:after="80" w:before="240"/>
      </w:pPr>
      <w:r>
        <w:rPr>
          <w:b/>
          <w:bCs/>
          <w:color w:val="2980B9"/>
          <w:sz w:val="24"/>
          <w:szCs w:val="24"/>
        </w:rPr>
        <w:t xml:space="preserve">5. KNN AI Predictor — Probabilitas Naik Berbasis Machine Learning</w:t>
      </w:r>
    </w:p>
    <w:p>
      <w:pPr>
        <w:spacing w:after="120" w:before="60"/>
      </w:pPr>
      <w:r>
        <w:rPr>
          <w:sz w:val="22"/>
          <w:szCs w:val="22"/>
        </w:rPr>
        <w:t xml:space="preserve">Model K-Nearest Neighbors dilatih dari data historis 2 tahun (OHLCV + indikator teknikal). Input mencakup RSI, CMF, posisi terhadap MA20/MA50/EMA200, ATR, dan volume ratio. Output berupa probabilitas saham naik esok hari dalam skala 0.0–1.0, dengan akurasi backtesting sekitar 60–65% untuk prediksi arah 1 hari ke depan.</w:t>
      </w:r>
    </w:p>
    <w:p>
      <w:pPr>
        <w:pBdr>
          <w:top w:val="single" w:color="2980B9" w:sz="6"/>
          <w:left w:val="single" w:color="2980B9" w:sz="24"/>
          <w:bottom w:val="single" w:color="2980B9" w:sz="6"/>
          <w:right w:val="single" w:color="2980B9" w:sz="6"/>
        </w:pBdr>
        <w:shd w:fill="D6EAF8" w:val="clear"/>
        <w:spacing w:after="0" w:before="80"/>
        <w:ind w:left="360"/>
      </w:pPr>
      <w:r>
        <w:rPr>
          <w:rFonts w:ascii="Courier New" w:cs="Courier New" w:eastAsia="Courier New" w:hAnsi="Courier New"/>
          <w:b/>
          <w:bCs/>
          <w:color w:val="1B4F72"/>
          <w:sz w:val="21"/>
          <w:szCs w:val="21"/>
        </w:rPr>
        <w:t xml:space="preserve">Skor KNN tinggi  = probabilitas naik &gt; 0.6</w:t>
      </w:r>
    </w:p>
    <w:p>
      <w:pPr>
        <w:pBdr>
          <w:top w:val="single" w:color="2980B9" w:sz="6"/>
          <w:left w:val="single" w:color="2980B9" w:sz="24"/>
          <w:bottom w:val="single" w:color="2980B9" w:sz="6"/>
          <w:right w:val="single" w:color="2980B9" w:sz="6"/>
        </w:pBdr>
        <w:shd w:fill="D6EAF8" w:val="clear"/>
        <w:spacing w:after="0" w:before="0"/>
        <w:ind w:left="360"/>
      </w:pPr>
      <w:r>
        <w:rPr>
          <w:rFonts w:ascii="Courier New" w:cs="Courier New" w:eastAsia="Courier New" w:hAnsi="Courier New"/>
          <w:b/>
          <w:bCs/>
          <w:color w:val="1B4F72"/>
          <w:sz w:val="21"/>
          <w:szCs w:val="21"/>
        </w:rPr>
        <w:t xml:space="preserve">Skor KNN rendah  = probabilitas naik &lt; 0.4</w:t>
      </w:r>
    </w:p>
    <w:p>
      <w:pPr>
        <w:pBdr>
          <w:top w:val="single" w:color="2980B9" w:sz="6"/>
          <w:left w:val="single" w:color="2980B9" w:sz="24"/>
          <w:bottom w:val="single" w:color="2980B9" w:sz="6"/>
          <w:right w:val="single" w:color="2980B9" w:sz="6"/>
        </w:pBdr>
        <w:shd w:fill="D6EAF8" w:val="clear"/>
        <w:spacing w:after="80" w:before="0"/>
        <w:ind w:left="360"/>
      </w:pPr>
      <w:r>
        <w:rPr>
          <w:rFonts w:ascii="Courier New" w:cs="Courier New" w:eastAsia="Courier New" w:hAnsi="Courier New"/>
          <w:b/>
          <w:bCs/>
          <w:color w:val="1B4F72"/>
          <w:sz w:val="21"/>
          <w:szCs w:val="21"/>
        </w:rPr>
        <w:t xml:space="preserve">Netral           = probabilitas 0.4 - 0.6</w:t>
      </w:r>
    </w:p>
    <w:p>
      <w:pPr>
        <w:spacing w:before="80"/>
      </w:pPr>
    </w:p>
    <w:p>
      <w:pPr>
        <w:pStyle w:val="Heading3"/>
        <w:spacing w:after="80" w:before="240"/>
      </w:pPr>
      <w:r>
        <w:rPr>
          <w:b/>
          <w:bCs/>
          <w:color w:val="2980B9"/>
          <w:sz w:val="24"/>
          <w:szCs w:val="24"/>
        </w:rPr>
        <w:t xml:space="preserve">6. Candlestick Pattern — Konfirmasi Sinyal di Level Mikro</w:t>
      </w:r>
    </w:p>
    <w:p>
      <w:pPr>
        <w:spacing w:after="120" w:before="60"/>
      </w:pPr>
      <w:r>
        <w:rPr>
          <w:sz w:val="22"/>
          <w:szCs w:val="22"/>
        </w:rPr>
        <w:t xml:space="preserve">Pola candlestick (hammer, engulfing, morning star, dll.) dikonfirmasi secara otomatis pada timeframe daily. Komponen ini berfungsi sebagai konfirmasi terakhir — memperkuat sinyal dari 5 komponen lain bahwa pasar sedang bersiap bergerak naik dari level harga saat ini.</w:t>
      </w:r>
    </w:p>
    <w:p>
      <w:pPr>
        <w:pBdr>
          <w:bottom w:val="single" w:color="AED6F1" w:sz="4" w:space="1"/>
        </w:pBdr>
        <w:spacing w:after="160" w:before="160"/>
      </w:pPr>
    </w:p>
    <w:p>
      <w:pPr>
        <w:pStyle w:val="Heading2"/>
        <w:spacing w:after="140" w:before="340"/>
      </w:pPr>
      <w:r>
        <w:rPr>
          <w:b/>
          <w:bCs/>
          <w:color w:val="1B4F72"/>
          <w:sz w:val="28"/>
          <w:szCs w:val="28"/>
        </w:rPr>
        <w:t xml:space="preserve">Perbedaan STRONG BUY vs BUY: Mengapa Ini Penting untuk Eksekusi</w:t>
      </w:r>
    </w:p>
    <w:p>
      <w:pPr>
        <w:spacing w:after="120" w:before="60"/>
      </w:pPr>
      <w:r>
        <w:rPr>
          <w:sz w:val="22"/>
          <w:szCs w:val="22"/>
        </w:rPr>
        <w:t xml:space="preserve">Secara numerik, perbedaan skor 6 dan 9 terlihat kecil. Tapi secara kualitas sinyal beli saham, keduanya sangat berbeda:</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13"/>
        <w:gridCol w:w="3256"/>
        <w:gridCol w:w="3257"/>
      </w:tblGrid>
      <w:tr>
        <w:trPr>
          <w:tblHeader/>
        </w:trPr>
        <w:tc>
          <w:tcPr>
            <w:tcW w:type="dxa" w:w="2513"/>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Aspek</w:t>
            </w:r>
          </w:p>
        </w:tc>
        <w:tc>
          <w:tcPr>
            <w:tcW w:type="dxa" w:w="3256"/>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STRONG BUY (Skor &gt;=9)</w:t>
            </w:r>
          </w:p>
        </w:tc>
        <w:tc>
          <w:tcPr>
            <w:tcW w:type="dxa" w:w="3257"/>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BUY (Skor 6-8)</w:t>
            </w:r>
          </w:p>
        </w:tc>
      </w:tr>
      <w:tr>
        <w:tc>
          <w:tcPr>
            <w:tcW w:type="dxa" w:w="2513"/>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bCs/>
                <w:color w:val="222222"/>
                <w:sz w:val="20"/>
                <w:szCs w:val="20"/>
              </w:rPr>
              <w:t xml:space="preserve">Komponen aktif</w:t>
            </w:r>
          </w:p>
        </w:tc>
        <w:tc>
          <w:tcPr>
            <w:tcW w:type="dxa" w:w="3256"/>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5–6 dari 6 komponen konfirmasi</w:t>
            </w:r>
          </w:p>
        </w:tc>
        <w:tc>
          <w:tcPr>
            <w:tcW w:type="dxa" w:w="3257"/>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3–4 dari 6 komponen konfirmasi</w:t>
            </w:r>
          </w:p>
        </w:tc>
      </w:tr>
      <w:tr>
        <w:tc>
          <w:tcPr>
            <w:tcW w:type="dxa" w:w="2513"/>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bCs/>
                <w:color w:val="222222"/>
                <w:sz w:val="20"/>
                <w:szCs w:val="20"/>
              </w:rPr>
              <w:t xml:space="preserve">Konsistensi sinyal</w:t>
            </w:r>
          </w:p>
        </w:tc>
        <w:tc>
          <w:tcPr>
            <w:tcW w:type="dxa" w:w="3256"/>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Semua timeframe saling mendukung</w:t>
            </w:r>
          </w:p>
        </w:tc>
        <w:tc>
          <w:tcPr>
            <w:tcW w:type="dxa" w:w="3257"/>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Ada 1–2 komponen yang kontradiktif</w:t>
            </w:r>
          </w:p>
        </w:tc>
      </w:tr>
      <w:tr>
        <w:tc>
          <w:tcPr>
            <w:tcW w:type="dxa" w:w="2513"/>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bCs/>
                <w:color w:val="222222"/>
                <w:sz w:val="20"/>
                <w:szCs w:val="20"/>
              </w:rPr>
              <w:t xml:space="preserve">Tindakan ideal</w:t>
            </w:r>
          </w:p>
        </w:tc>
        <w:tc>
          <w:tcPr>
            <w:tcW w:type="dxa" w:w="3256"/>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Eksekusi langsung jika entry valid</w:t>
            </w:r>
          </w:p>
        </w:tc>
        <w:tc>
          <w:tcPr>
            <w:tcW w:type="dxa" w:w="3257"/>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Eksekusi lebih kecil atau tunggu konfirmasi tambahan</w:t>
            </w:r>
          </w:p>
        </w:tc>
      </w:tr>
      <w:tr>
        <w:tc>
          <w:tcPr>
            <w:tcW w:type="dxa" w:w="2513"/>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bCs/>
                <w:color w:val="222222"/>
                <w:sz w:val="20"/>
                <w:szCs w:val="20"/>
              </w:rPr>
              <w:t xml:space="preserve">Position sizing</w:t>
            </w:r>
          </w:p>
        </w:tc>
        <w:tc>
          <w:tcPr>
            <w:tcW w:type="dxa" w:w="3256"/>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Risiko penuh (1–2% modal)</w:t>
            </w:r>
          </w:p>
        </w:tc>
        <w:tc>
          <w:tcPr>
            <w:tcW w:type="dxa" w:w="3257"/>
            <w:tcBorders>
              <w:top w:val="single" w:color="AED6F1" w:sz="4"/>
              <w:left w:val="single" w:color="AED6F1" w:sz="4"/>
              <w:bottom w:val="single" w:color="AED6F1" w:sz="4"/>
              <w:right w:val="single" w:color="AED6F1" w:sz="4"/>
            </w:tcBorders>
            <w:shd w:fill="EBF5FB" w:val="clear"/>
            <w:tcMar>
              <w:top w:type="dxa" w:w="80"/>
              <w:left w:type="dxa" w:w="140"/>
              <w:bottom w:type="dxa" w:w="80"/>
              <w:right w:type="dxa" w:w="140"/>
            </w:tcMar>
          </w:tcPr>
          <w:p>
            <w:r>
              <w:rPr>
                <w:b w:val="false"/>
                <w:bCs w:val="false"/>
                <w:color w:val="222222"/>
                <w:sz w:val="20"/>
                <w:szCs w:val="20"/>
              </w:rPr>
              <w:t xml:space="preserve">Risiko lebih kecil (0.5–1% modal)</w:t>
            </w:r>
          </w:p>
        </w:tc>
      </w:tr>
      <w:tr>
        <w:tc>
          <w:tcPr>
            <w:tcW w:type="dxa" w:w="2513"/>
            <w:tcBorders>
              <w:top w:val="single" w:color="AED6F1" w:sz="4"/>
              <w:left w:val="single" w:color="AED6F1" w:sz="4"/>
              <w:bottom w:val="single" w:color="AED6F1" w:sz="4"/>
              <w:right w:val="single" w:color="AED6F1" w:sz="4"/>
            </w:tcBorders>
            <w:shd w:fill="D6EAF8" w:val="clear"/>
            <w:tcMar>
              <w:top w:type="dxa" w:w="80"/>
              <w:left w:type="dxa" w:w="140"/>
              <w:bottom w:type="dxa" w:w="80"/>
              <w:right w:type="dxa" w:w="140"/>
            </w:tcMar>
          </w:tcPr>
          <w:p>
            <w:r>
              <w:rPr>
                <w:b/>
                <w:bCs/>
                <w:color w:val="222222"/>
                <w:sz w:val="20"/>
                <w:szCs w:val="20"/>
              </w:rPr>
              <w:t xml:space="preserve">Risk/Reward target</w:t>
            </w:r>
          </w:p>
        </w:tc>
        <w:tc>
          <w:tcPr>
            <w:tcW w:type="dxa" w:w="3256"/>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Minimal 1:2, idealnya 1:3</w:t>
            </w:r>
          </w:p>
        </w:tc>
        <w:tc>
          <w:tcPr>
            <w:tcW w:type="dxa" w:w="3257"/>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Minimal 1:2, lebih konservatif</w:t>
            </w:r>
          </w:p>
        </w:tc>
      </w:tr>
    </w:tbl>
    <w:p>
      <w:pPr>
        <w:spacing w:before="160"/>
      </w:pPr>
    </w:p>
    <w:p>
      <w:pPr>
        <w:pBdr>
          <w:left w:val="single" w:color="1E8449" w:sz="20"/>
        </w:pBdr>
        <w:shd w:fill="EAFAF1" w:val="clear"/>
        <w:spacing w:after="120" w:before="120"/>
        <w:ind w:left="360"/>
      </w:pPr>
      <w:r>
        <w:rPr>
          <w:b/>
          <w:bCs/>
          <w:color w:val="145A32"/>
          <w:sz w:val="22"/>
          <w:szCs w:val="22"/>
        </w:rPr>
        <w:t xml:space="preserve">Kesimpulan praktis: </w:t>
      </w:r>
      <w:r>
        <w:rPr>
          <w:color w:val="333333"/>
          <w:sz w:val="22"/>
          <w:szCs w:val="22"/>
        </w:rPr>
        <w:t xml:space="preserve">STRONG BUY = eksekusi penuh. BUY = eksekusi setengah dulu, tambah lot jika saham konfirmasi naik.</w:t>
      </w:r>
    </w:p>
    <w:p>
      <w:pPr>
        <w:pBdr>
          <w:bottom w:val="single" w:color="AED6F1" w:sz="4" w:space="1"/>
        </w:pBdr>
        <w:spacing w:after="160" w:before="160"/>
      </w:pPr>
    </w:p>
    <w:p>
      <w:pPr>
        <w:pStyle w:val="Heading2"/>
        <w:spacing w:after="140" w:before="340"/>
      </w:pPr>
      <w:r>
        <w:rPr>
          <w:b/>
          <w:bCs/>
          <w:color w:val="1B4F72"/>
          <w:sz w:val="28"/>
          <w:szCs w:val="28"/>
        </w:rPr>
        <w:t xml:space="preserve">Faktor yang Menentukan Kualitas Sinyal Beli Saham</w:t>
      </w:r>
    </w:p>
    <w:p>
      <w:pPr>
        <w:spacing w:after="120" w:before="60"/>
      </w:pPr>
      <w:r>
        <w:rPr>
          <w:sz w:val="22"/>
          <w:szCs w:val="22"/>
        </w:rPr>
        <w:t xml:space="preserve">Tidak semua STRONG BUY diciptakan sama. Dua sinyal dengan skor identik bisa punya probabilitas sukses yang sangat berbeda tergantung konteks berikut:</w:t>
      </w:r>
    </w:p>
    <w:p>
      <w:pPr>
        <w:spacing w:before="80"/>
      </w:pPr>
    </w:p>
    <w:p>
      <w:pPr>
        <w:pStyle w:val="Heading3"/>
        <w:spacing w:after="80" w:before="240"/>
      </w:pPr>
      <w:r>
        <w:rPr>
          <w:b/>
          <w:bCs/>
          <w:color w:val="2980B9"/>
          <w:sz w:val="24"/>
          <w:szCs w:val="24"/>
        </w:rPr>
        <w:t xml:space="preserve">Fase Wyckoff — Konteks Siklus Saham</w:t>
      </w:r>
    </w:p>
    <w:p>
      <w:pPr>
        <w:spacing w:after="120" w:before="60"/>
      </w:pPr>
      <w:r>
        <w:rPr>
          <w:sz w:val="22"/>
          <w:szCs w:val="22"/>
        </w:rPr>
        <w:t xml:space="preserve">Sinyal BUY yang muncul di fase Akumulasi (harga flat + volume tinggi) jauh lebih kuat dibanding sinyal yang sama di fase Distribusi (harga di puncak + institusi mulai jual). Screener mendeteksi fase ini secara otomatis: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013"/>
        <w:gridCol w:w="4013"/>
      </w:tblGrid>
      <w:tr>
        <w:trPr>
          <w:tblHeader/>
        </w:trPr>
        <w:tc>
          <w:tcPr>
            <w:tcW w:type="dxa" w:w="20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Fase Wyckoff</w:t>
            </w:r>
          </w:p>
        </w:tc>
        <w:tc>
          <w:tcPr>
            <w:tcW w:type="dxa" w:w="3013"/>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Karakteristik</w:t>
            </w:r>
          </w:p>
        </w:tc>
        <w:tc>
          <w:tcPr>
            <w:tcW w:type="dxa" w:w="4013"/>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Kualitas Sinyal BUY</w:t>
            </w:r>
          </w:p>
        </w:tc>
      </w:tr>
      <w:tr>
        <w:tc>
          <w:tcPr>
            <w:tcW w:type="dxa" w:w="20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bCs/>
                <w:color w:val="145A32"/>
                <w:sz w:val="20"/>
                <w:szCs w:val="20"/>
              </w:rPr>
              <w:t xml:space="preserve">Akumulasi</w:t>
            </w:r>
          </w:p>
        </w:tc>
        <w:tc>
          <w:tcPr>
            <w:tcW w:type="dxa" w:w="3013"/>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Volume tinggi + harga flat/naik tipis, di bawah SMA20</w:t>
            </w:r>
          </w:p>
        </w:tc>
        <w:tc>
          <w:tcPr>
            <w:tcW w:type="dxa" w:w="4013"/>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SANGAT KUAT — institusi masuk sebelum publik tahu</w:t>
            </w:r>
          </w:p>
        </w:tc>
      </w:tr>
      <w:tr>
        <w:tc>
          <w:tcPr>
            <w:tcW w:type="dxa" w:w="2000"/>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bCs/>
                <w:color w:val="1E8449"/>
                <w:sz w:val="20"/>
                <w:szCs w:val="20"/>
              </w:rPr>
              <w:t xml:space="preserve">Markup</w:t>
            </w:r>
          </w:p>
        </w:tc>
        <w:tc>
          <w:tcPr>
            <w:tcW w:type="dxa" w:w="3013"/>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Di atas SMA20 dan EMA200, CMF positif</w:t>
            </w:r>
          </w:p>
        </w:tc>
        <w:tc>
          <w:tcPr>
            <w:tcW w:type="dxa" w:w="4013"/>
            <w:tcBorders>
              <w:top w:val="single" w:color="AED6F1" w:sz="4"/>
              <w:left w:val="single" w:color="AED6F1" w:sz="4"/>
              <w:bottom w:val="single" w:color="AED6F1" w:sz="4"/>
              <w:right w:val="single" w:color="AED6F1" w:sz="4"/>
            </w:tcBorders>
            <w:shd w:fill="EAFAF1" w:val="clear"/>
            <w:tcMar>
              <w:top w:type="dxa" w:w="80"/>
              <w:left w:type="dxa" w:w="140"/>
              <w:bottom w:type="dxa" w:w="80"/>
              <w:right w:type="dxa" w:w="140"/>
            </w:tcMar>
          </w:tcPr>
          <w:p>
            <w:r>
              <w:rPr>
                <w:b w:val="false"/>
                <w:bCs w:val="false"/>
                <w:color w:val="222222"/>
                <w:sz w:val="20"/>
                <w:szCs w:val="20"/>
              </w:rPr>
              <w:t xml:space="preserve">KUAT — tren naik terkonfirmasi</w:t>
            </w:r>
          </w:p>
        </w:tc>
      </w:tr>
      <w:tr>
        <w:tc>
          <w:tcPr>
            <w:tcW w:type="dxa" w:w="20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bCs/>
                <w:color w:val="9A7D0A"/>
                <w:sz w:val="20"/>
                <w:szCs w:val="20"/>
              </w:rPr>
              <w:t xml:space="preserve">Distribusi</w:t>
            </w:r>
          </w:p>
        </w:tc>
        <w:tc>
          <w:tcPr>
            <w:tcW w:type="dxa" w:w="3013"/>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Volume tinggi di puncak, harga stagnan</w:t>
            </w:r>
          </w:p>
        </w:tc>
        <w:tc>
          <w:tcPr>
            <w:tcW w:type="dxa" w:w="4013"/>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LEMAH — sinyal BUY palsu, institusi justru jual</w:t>
            </w:r>
          </w:p>
        </w:tc>
      </w:tr>
      <w:tr>
        <w:tc>
          <w:tcPr>
            <w:tcW w:type="dxa" w:w="2000"/>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bCs/>
                <w:color w:val="C0392B"/>
                <w:sz w:val="20"/>
                <w:szCs w:val="20"/>
              </w:rPr>
              <w:t xml:space="preserve">Markdown</w:t>
            </w:r>
          </w:p>
        </w:tc>
        <w:tc>
          <w:tcPr>
            <w:tcW w:type="dxa" w:w="3013"/>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Di bawah semua MA, CMF negatif</w:t>
            </w:r>
          </w:p>
        </w:tc>
        <w:tc>
          <w:tcPr>
            <w:tcW w:type="dxa" w:w="4013"/>
            <w:tcBorders>
              <w:top w:val="single" w:color="AED6F1" w:sz="4"/>
              <w:left w:val="single" w:color="AED6F1" w:sz="4"/>
              <w:bottom w:val="single" w:color="AED6F1" w:sz="4"/>
              <w:right w:val="single" w:color="AED6F1" w:sz="4"/>
            </w:tcBorders>
            <w:shd w:fill="FDEDEC" w:val="clear"/>
            <w:tcMar>
              <w:top w:type="dxa" w:w="80"/>
              <w:left w:type="dxa" w:w="140"/>
              <w:bottom w:type="dxa" w:w="80"/>
              <w:right w:type="dxa" w:w="140"/>
            </w:tcMar>
          </w:tcPr>
          <w:p>
            <w:r>
              <w:rPr>
                <w:b w:val="false"/>
                <w:bCs w:val="false"/>
                <w:color w:val="222222"/>
                <w:sz w:val="20"/>
                <w:szCs w:val="20"/>
              </w:rPr>
              <w:t xml:space="preserve">SANGAT LEMAH — hindari masuk</w:t>
            </w:r>
          </w:p>
        </w:tc>
      </w:tr>
    </w:tbl>
    <w:p>
      <w:pPr>
        <w:spacing w:before="160"/>
      </w:pPr>
    </w:p>
    <w:p>
      <w:pPr>
        <w:pStyle w:val="Heading3"/>
        <w:spacing w:after="80" w:before="240"/>
      </w:pPr>
      <w:r>
        <w:rPr>
          <w:b/>
          <w:bCs/>
          <w:color w:val="2980B9"/>
          <w:sz w:val="24"/>
          <w:szCs w:val="24"/>
        </w:rPr>
        <w:t xml:space="preserve">Net Foreign Flow — Arah Dana Asing</w:t>
      </w:r>
    </w:p>
    <w:p>
      <w:pPr>
        <w:spacing w:after="120" w:before="60"/>
      </w:pPr>
      <w:r>
        <w:rPr>
          <w:sz w:val="22"/>
          <w:szCs w:val="22"/>
        </w:rPr>
        <w:t xml:space="preserve">Untuk saham IDX, sinyal STRONG BUY yang disertai net foreign flow positif (asing net beli) memiliki probabilitas follow-through jauh lebih tinggi. Sebaliknya, STRONG BUY dengan asing yang terus net jual perlu diwaspadai — bisa jadi sinyal teknikal mendahului distribusi.</w:t>
      </w:r>
    </w:p>
    <w:p>
      <w:pPr>
        <w:pStyle w:val="Heading3"/>
        <w:spacing w:after="80" w:before="240"/>
      </w:pPr>
      <w:r>
        <w:rPr>
          <w:b/>
          <w:bCs/>
          <w:color w:val="2980B9"/>
          <w:sz w:val="24"/>
          <w:szCs w:val="24"/>
        </w:rPr>
        <w:t xml:space="preserve">Bandar Monopoli — Sinyal Konsentrasi Broker</w:t>
      </w:r>
    </w:p>
    <w:p>
      <w:pPr>
        <w:spacing w:after="120" w:before="60"/>
      </w:pPr>
      <w:r>
        <w:rPr>
          <w:sz w:val="22"/>
          <w:szCs w:val="22"/>
        </w:rPr>
        <w:t xml:space="preserve">Ketika satu broker menguasai lebih dari 60% volume transaksi suatu saham dalam satu hari (broker_concentration &gt;60%), ini adalah sinyal akumulasi terkonsentrasi yang kuat — disebut "Bandar Monopoli" di screener. Jika muncul bersamaan dengan skor STRONG BUY, ini salah satu kombinasi sinyal terkuat yang bisa ditemukan di IDX.</w:t>
      </w:r>
    </w:p>
    <w:p>
      <w:pPr>
        <w:pBdr>
          <w:left w:val="single" w:color="D35400" w:sz="20"/>
        </w:pBdr>
        <w:shd w:fill="FEF5EC" w:val="clear"/>
        <w:spacing w:after="120" w:before="120"/>
        <w:ind w:left="360"/>
      </w:pPr>
      <w:r>
        <w:rPr>
          <w:b/>
          <w:bCs/>
          <w:color w:val="D35400"/>
          <w:sz w:val="22"/>
          <w:szCs w:val="22"/>
        </w:rPr>
        <w:t xml:space="preserve">Penting: </w:t>
      </w:r>
      <w:r>
        <w:rPr>
          <w:color w:val="333333"/>
          <w:sz w:val="22"/>
          <w:szCs w:val="22"/>
        </w:rPr>
        <w:t xml:space="preserve">Bandar Monopoli bukan jaminan naik — tapi konfirmasi bahwa ada pemain besar yang sedang mengakumulasi. Selalu konfirmasi dengan fase Wyckoff dan sinyal teknikal sebelum eksekusi.</w:t>
      </w:r>
    </w:p>
    <w:p>
      <w:pPr>
        <w:pBdr>
          <w:bottom w:val="single" w:color="AED6F1" w:sz="4" w:space="1"/>
        </w:pBdr>
        <w:spacing w:after="160" w:before="160"/>
      </w:pPr>
    </w:p>
    <w:p>
      <w:pPr>
        <w:pStyle w:val="Heading2"/>
        <w:spacing w:after="140" w:before="340"/>
      </w:pPr>
      <w:r>
        <w:rPr>
          <w:b/>
          <w:bCs/>
          <w:color w:val="1B4F72"/>
          <w:sz w:val="28"/>
          <w:szCs w:val="28"/>
        </w:rPr>
        <w:t xml:space="preserve">Contoh Nyata: Membaca Sinyal di Saham IDX</w:t>
      </w:r>
    </w:p>
    <w:p>
      <w:pPr>
        <w:spacing w:after="120" w:before="60"/>
      </w:pPr>
      <w:r>
        <w:rPr>
          <w:sz w:val="22"/>
          <w:szCs w:val="22"/>
        </w:rPr>
        <w:t xml:space="preserve">Berikut dua skenario berbeda untuk saham PGEO dan BBCA — dengan skor BUY yang sama tapi konteks sangat berbeda:</w:t>
      </w:r>
    </w:p>
    <w:p>
      <w:pPr>
        <w:spacing w:before="8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200"/>
        <w:gridCol w:w="1226"/>
        <w:gridCol w:w="1500"/>
        <w:gridCol w:w="1500"/>
      </w:tblGrid>
      <w:tr>
        <w:trPr>
          <w:tblHeader/>
        </w:trPr>
        <w:tc>
          <w:tcPr>
            <w:tcW w:type="dxa" w:w="18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Saham</w:t>
            </w:r>
          </w:p>
        </w:tc>
        <w:tc>
          <w:tcPr>
            <w:tcW w:type="dxa" w:w="18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Status</w:t>
            </w:r>
          </w:p>
        </w:tc>
        <w:tc>
          <w:tcPr>
            <w:tcW w:type="dxa" w:w="12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Skor</w:t>
            </w:r>
          </w:p>
        </w:tc>
        <w:tc>
          <w:tcPr>
            <w:tcW w:type="dxa" w:w="1226"/>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Fase</w:t>
            </w:r>
          </w:p>
        </w:tc>
        <w:tc>
          <w:tcPr>
            <w:tcW w:type="dxa" w:w="15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Net Asing</w:t>
            </w:r>
          </w:p>
        </w:tc>
        <w:tc>
          <w:tcPr>
            <w:tcW w:type="dxa" w:w="1500"/>
            <w:tcBorders>
              <w:top w:val="single" w:color="AED6F1" w:sz="4"/>
              <w:left w:val="single" w:color="AED6F1" w:sz="4"/>
              <w:bottom w:val="single" w:color="AED6F1" w:sz="4"/>
              <w:right w:val="single" w:color="AED6F1" w:sz="4"/>
            </w:tcBorders>
            <w:shd w:fill="1B4F72" w:val="clear"/>
            <w:tcMar>
              <w:top w:type="dxa" w:w="80"/>
              <w:left w:type="dxa" w:w="140"/>
              <w:bottom w:type="dxa" w:w="80"/>
              <w:right w:type="dxa" w:w="140"/>
            </w:tcMar>
          </w:tcPr>
          <w:p>
            <w:r>
              <w:rPr>
                <w:b/>
                <w:bCs/>
                <w:color w:val="FFFFFF"/>
                <w:sz w:val="20"/>
                <w:szCs w:val="20"/>
              </w:rPr>
              <w:t xml:space="preserve">Rekomendasi</w:t>
            </w:r>
          </w:p>
        </w:tc>
      </w:tr>
      <w:tr>
        <w:tc>
          <w:tcPr>
            <w:tcW w:type="dxa" w:w="18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PGEO</w:t>
            </w:r>
          </w:p>
        </w:tc>
        <w:tc>
          <w:tcPr>
            <w:tcW w:type="dxa" w:w="18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bCs/>
                <w:color w:val="145A32"/>
                <w:sz w:val="20"/>
                <w:szCs w:val="20"/>
              </w:rPr>
              <w:t xml:space="preserve">STRONG BUY</w:t>
            </w:r>
          </w:p>
        </w:tc>
        <w:tc>
          <w:tcPr>
            <w:tcW w:type="dxa" w:w="12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10/12</w:t>
            </w:r>
          </w:p>
        </w:tc>
        <w:tc>
          <w:tcPr>
            <w:tcW w:type="dxa" w:w="1226"/>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Akumulasi</w:t>
            </w:r>
          </w:p>
        </w:tc>
        <w:tc>
          <w:tcPr>
            <w:tcW w:type="dxa" w:w="15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val="false"/>
                <w:bCs w:val="false"/>
                <w:color w:val="222222"/>
                <w:sz w:val="20"/>
                <w:szCs w:val="20"/>
              </w:rPr>
              <w:t xml:space="preserve">Net Beli +3.2M</w:t>
            </w:r>
          </w:p>
        </w:tc>
        <w:tc>
          <w:tcPr>
            <w:tcW w:type="dxa" w:w="1500"/>
            <w:tcBorders>
              <w:top w:val="single" w:color="AED6F1" w:sz="4"/>
              <w:left w:val="single" w:color="AED6F1" w:sz="4"/>
              <w:bottom w:val="single" w:color="AED6F1" w:sz="4"/>
              <w:right w:val="single" w:color="AED6F1" w:sz="4"/>
            </w:tcBorders>
            <w:shd w:fill="D5F5E3" w:val="clear"/>
            <w:tcMar>
              <w:top w:type="dxa" w:w="80"/>
              <w:left w:type="dxa" w:w="140"/>
              <w:bottom w:type="dxa" w:w="80"/>
              <w:right w:type="dxa" w:w="140"/>
            </w:tcMar>
          </w:tcPr>
          <w:p>
            <w:r>
              <w:rPr>
                <w:b/>
                <w:bCs/>
                <w:color w:val="145A32"/>
                <w:sz w:val="20"/>
                <w:szCs w:val="20"/>
              </w:rPr>
              <w:t xml:space="preserve">Eksekusi penuh</w:t>
            </w:r>
          </w:p>
        </w:tc>
      </w:tr>
      <w:tr>
        <w:tc>
          <w:tcPr>
            <w:tcW w:type="dxa" w:w="18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BBCA</w:t>
            </w:r>
          </w:p>
        </w:tc>
        <w:tc>
          <w:tcPr>
            <w:tcW w:type="dxa" w:w="18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bCs/>
                <w:color w:val="9A7D0A"/>
                <w:sz w:val="20"/>
                <w:szCs w:val="20"/>
              </w:rPr>
              <w:t xml:space="preserve">BUY</w:t>
            </w:r>
          </w:p>
        </w:tc>
        <w:tc>
          <w:tcPr>
            <w:tcW w:type="dxa" w:w="12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7/12</w:t>
            </w:r>
          </w:p>
        </w:tc>
        <w:tc>
          <w:tcPr>
            <w:tcW w:type="dxa" w:w="1226"/>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Distribusi</w:t>
            </w:r>
          </w:p>
        </w:tc>
        <w:tc>
          <w:tcPr>
            <w:tcW w:type="dxa" w:w="15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val="false"/>
                <w:bCs w:val="false"/>
                <w:color w:val="222222"/>
                <w:sz w:val="20"/>
                <w:szCs w:val="20"/>
              </w:rPr>
              <w:t xml:space="preserve">Net Jual -1.8M</w:t>
            </w:r>
          </w:p>
        </w:tc>
        <w:tc>
          <w:tcPr>
            <w:tcW w:type="dxa" w:w="1500"/>
            <w:tcBorders>
              <w:top w:val="single" w:color="AED6F1" w:sz="4"/>
              <w:left w:val="single" w:color="AED6F1" w:sz="4"/>
              <w:bottom w:val="single" w:color="AED6F1" w:sz="4"/>
              <w:right w:val="single" w:color="AED6F1" w:sz="4"/>
            </w:tcBorders>
            <w:shd w:fill="FEF9E7" w:val="clear"/>
            <w:tcMar>
              <w:top w:type="dxa" w:w="80"/>
              <w:left w:type="dxa" w:w="140"/>
              <w:bottom w:type="dxa" w:w="80"/>
              <w:right w:type="dxa" w:w="140"/>
            </w:tcMar>
          </w:tcPr>
          <w:p>
            <w:r>
              <w:rPr>
                <w:b/>
                <w:bCs/>
                <w:color w:val="D35400"/>
                <w:sz w:val="20"/>
                <w:szCs w:val="20"/>
              </w:rPr>
              <w:t xml:space="preserve">Skip / tunggu</w:t>
            </w:r>
          </w:p>
        </w:tc>
      </w:tr>
    </w:tbl>
    <w:p>
      <w:pPr>
        <w:spacing w:before="160"/>
      </w:pPr>
    </w:p>
    <w:p>
      <w:pPr>
        <w:spacing w:after="120" w:before="60"/>
      </w:pPr>
      <w:r>
        <w:rPr>
          <w:sz w:val="22"/>
          <w:szCs w:val="22"/>
        </w:rPr>
        <w:t xml:space="preserve">PGEO dengan STRONG BUY + Akumulasi + net asing beli adalah kombinasi ideal. BBCA dengan BUY tapi di fase Distribusi + asing net jual = sinyal yang meski "hijau", tidak sebaiknya dieksekusi saat itu.</w:t>
      </w:r>
    </w:p>
    <w:p>
      <w:pPr>
        <w:pBdr>
          <w:left w:val="single" w:color="666666" w:sz="20"/>
        </w:pBdr>
        <w:shd w:fill="F2F3F4" w:val="clear"/>
        <w:spacing w:after="120" w:before="120"/>
        <w:ind w:left="360"/>
      </w:pPr>
      <w:r>
        <w:rPr>
          <w:b/>
          <w:bCs/>
          <w:color w:val="666666"/>
          <w:sz w:val="22"/>
          <w:szCs w:val="22"/>
        </w:rPr>
        <w:t xml:space="preserve">[GAMBAR: Screenshot screener menampilkan kolom status, skor, fase Wyckoff, dan net foreign flow berdampingan]</w:t>
      </w:r>
    </w:p>
    <w:p>
      <w:pPr>
        <w:pBdr>
          <w:bottom w:val="single" w:color="AED6F1" w:sz="4" w:space="1"/>
        </w:pBdr>
        <w:spacing w:after="160" w:before="160"/>
      </w:pPr>
    </w:p>
    <w:p>
      <w:pPr>
        <w:pStyle w:val="Heading2"/>
        <w:spacing w:after="140" w:before="340"/>
      </w:pPr>
      <w:r>
        <w:rPr>
          <w:b/>
          <w:bCs/>
          <w:color w:val="1B4F72"/>
          <w:sz w:val="28"/>
          <w:szCs w:val="28"/>
        </w:rPr>
        <w:t xml:space="preserve">Cara Praktis Membaca Sinyal Beli Saham: Step by Step</w:t>
      </w:r>
    </w:p>
    <w:p>
      <w:pPr>
        <w:pStyle w:val="ListParagraph"/>
        <w:numPr>
          <w:ilvl w:val="0"/>
          <w:numId w:val="2"/>
        </w:numPr>
        <w:spacing w:after="60" w:before="40"/>
      </w:pPr>
      <w:r>
        <w:rPr>
          <w:b/>
          <w:bCs/>
          <w:color w:val="000000"/>
          <w:sz w:val="22"/>
          <w:szCs w:val="22"/>
        </w:rPr>
        <w:t xml:space="preserve">Filter status </w:t>
      </w:r>
      <w:r>
        <w:rPr>
          <w:sz w:val="22"/>
          <w:szCs w:val="22"/>
        </w:rPr>
        <w:t xml:space="preserve">— mulai dari STRONG BUY dulu, baru BUY jika tidak ada yang cocok</w:t>
      </w:r>
    </w:p>
    <w:p>
      <w:pPr>
        <w:pStyle w:val="ListParagraph"/>
        <w:numPr>
          <w:ilvl w:val="0"/>
          <w:numId w:val="2"/>
        </w:numPr>
        <w:spacing w:after="60" w:before="40"/>
      </w:pPr>
      <w:r>
        <w:rPr>
          <w:b/>
          <w:bCs/>
          <w:color w:val="000000"/>
          <w:sz w:val="22"/>
          <w:szCs w:val="22"/>
        </w:rPr>
        <w:t xml:space="preserve">Cek fase Wyckoff </w:t>
      </w:r>
      <w:r>
        <w:rPr>
          <w:sz w:val="22"/>
          <w:szCs w:val="22"/>
        </w:rPr>
        <w:t xml:space="preserve">— pastikan Akumulasi atau awal Markup, bukan Distribusi</w:t>
      </w:r>
    </w:p>
    <w:p>
      <w:pPr>
        <w:pStyle w:val="ListParagraph"/>
        <w:numPr>
          <w:ilvl w:val="0"/>
          <w:numId w:val="2"/>
        </w:numPr>
        <w:spacing w:after="60" w:before="40"/>
      </w:pPr>
      <w:r>
        <w:rPr>
          <w:b/>
          <w:bCs/>
          <w:color w:val="000000"/>
          <w:sz w:val="22"/>
          <w:szCs w:val="22"/>
        </w:rPr>
        <w:t xml:space="preserve">Lihat net foreign flow </w:t>
      </w:r>
      <w:r>
        <w:rPr>
          <w:sz w:val="22"/>
          <w:szCs w:val="22"/>
        </w:rPr>
        <w:t xml:space="preserve">— untuk IDX, konfirmasi asing net beli (minimal 3–5 hari terakhir positif)</w:t>
      </w:r>
    </w:p>
    <w:p>
      <w:pPr>
        <w:pStyle w:val="ListParagraph"/>
        <w:numPr>
          <w:ilvl w:val="0"/>
          <w:numId w:val="2"/>
        </w:numPr>
        <w:spacing w:after="60" w:before="40"/>
      </w:pPr>
      <w:r>
        <w:rPr>
          <w:b/>
          <w:bCs/>
          <w:color w:val="000000"/>
          <w:sz w:val="22"/>
          <w:szCs w:val="22"/>
        </w:rPr>
        <w:t xml:space="preserve">Perhatikan Bandar Monopoli </w:t>
      </w:r>
      <w:r>
        <w:rPr>
          <w:sz w:val="22"/>
          <w:szCs w:val="22"/>
        </w:rPr>
        <w:t xml:space="preserve">— jika ada, perkuat keyakinan entry</w:t>
      </w:r>
    </w:p>
    <w:p>
      <w:pPr>
        <w:pStyle w:val="ListParagraph"/>
        <w:numPr>
          <w:ilvl w:val="0"/>
          <w:numId w:val="2"/>
        </w:numPr>
        <w:spacing w:after="60" w:before="40"/>
      </w:pPr>
      <w:r>
        <w:rPr>
          <w:b/>
          <w:bCs/>
          <w:color w:val="000000"/>
          <w:sz w:val="22"/>
          <w:szCs w:val="22"/>
        </w:rPr>
        <w:t xml:space="preserve">Buka chart individual </w:t>
      </w:r>
      <w:r>
        <w:rPr>
          <w:sz w:val="22"/>
          <w:szCs w:val="22"/>
        </w:rPr>
        <w:t xml:space="preserve">— konfirmasi visual bahwa harga di atas MA dan Donchian tidak overbought</w:t>
      </w:r>
    </w:p>
    <w:p>
      <w:pPr>
        <w:pStyle w:val="ListParagraph"/>
        <w:numPr>
          <w:ilvl w:val="0"/>
          <w:numId w:val="2"/>
        </w:numPr>
        <w:spacing w:after="60" w:before="40"/>
      </w:pPr>
      <w:r>
        <w:rPr>
          <w:b/>
          <w:bCs/>
          <w:color w:val="000000"/>
          <w:sz w:val="22"/>
          <w:szCs w:val="22"/>
        </w:rPr>
        <w:t xml:space="preserve">Cek skor per komponen </w:t>
      </w:r>
      <w:r>
        <w:rPr>
          <w:sz w:val="22"/>
          <w:szCs w:val="22"/>
        </w:rPr>
        <w:t xml:space="preserve">— pastikan KNN AI dan CMF keduanya positif (dua komponen paling forward-looking)</w:t>
      </w:r>
    </w:p>
    <w:p>
      <w:pPr>
        <w:pStyle w:val="ListParagraph"/>
        <w:numPr>
          <w:ilvl w:val="0"/>
          <w:numId w:val="2"/>
        </w:numPr>
        <w:spacing w:after="60" w:before="40"/>
      </w:pPr>
      <w:r>
        <w:rPr>
          <w:b/>
          <w:bCs/>
          <w:color w:val="000000"/>
          <w:sz w:val="22"/>
          <w:szCs w:val="22"/>
        </w:rPr>
        <w:t xml:space="preserve">Tentukan entry dan stop loss </w:t>
      </w:r>
      <w:r>
        <w:rPr>
          <w:sz w:val="22"/>
          <w:szCs w:val="22"/>
        </w:rPr>
        <w:t xml:space="preserve">berbasis ATR sebelum memutuskan lot</w:t>
      </w:r>
    </w:p>
    <w:p>
      <w:pPr>
        <w:pStyle w:val="ListParagraph"/>
        <w:numPr>
          <w:ilvl w:val="0"/>
          <w:numId w:val="2"/>
        </w:numPr>
        <w:spacing w:after="60" w:before="40"/>
      </w:pPr>
      <w:r>
        <w:rPr>
          <w:b/>
          <w:bCs/>
          <w:color w:val="000000"/>
          <w:sz w:val="22"/>
          <w:szCs w:val="22"/>
        </w:rPr>
        <w:t xml:space="preserve">Hitung position sizing </w:t>
      </w:r>
      <w:r>
        <w:rPr>
          <w:sz w:val="22"/>
          <w:szCs w:val="22"/>
        </w:rPr>
        <w:t xml:space="preserve">— STRONG BUY: risiko 1–2%, BUY biasa: risiko 0.5–1%</w:t>
      </w:r>
    </w:p>
    <w:p>
      <w:pPr>
        <w:pStyle w:val="ListParagraph"/>
        <w:numPr>
          <w:ilvl w:val="0"/>
          <w:numId w:val="2"/>
        </w:numPr>
        <w:spacing w:after="60" w:before="40"/>
      </w:pPr>
      <w:r>
        <w:rPr>
          <w:b/>
          <w:bCs/>
          <w:color w:val="000000"/>
          <w:sz w:val="22"/>
          <w:szCs w:val="22"/>
        </w:rPr>
        <w:t xml:space="preserve">Catat alasan entry </w:t>
      </w:r>
      <w:r>
        <w:rPr>
          <w:sz w:val="22"/>
          <w:szCs w:val="22"/>
        </w:rPr>
        <w:t xml:space="preserve">— dokumentasi sederhana membantu evaluasi sistem ke depannya</w:t>
      </w:r>
    </w:p>
    <w:p>
      <w:pPr>
        <w:pBdr>
          <w:bottom w:val="single" w:color="AED6F1" w:sz="4" w:space="1"/>
        </w:pBdr>
        <w:spacing w:after="160" w:before="160"/>
      </w:pPr>
    </w:p>
    <w:p>
      <w:pPr>
        <w:pStyle w:val="Heading2"/>
        <w:spacing w:after="140" w:before="340"/>
      </w:pPr>
      <w:r>
        <w:rPr>
          <w:b/>
          <w:bCs/>
          <w:color w:val="1B4F72"/>
          <w:sz w:val="28"/>
          <w:szCs w:val="28"/>
        </w:rPr>
        <w:t xml:space="preserve">Kesalahan Umum dalam Membaca Sinyal Beli Saham</w:t>
      </w:r>
    </w:p>
    <w:p>
      <w:pPr>
        <w:pStyle w:val="ListParagraph"/>
        <w:numPr>
          <w:ilvl w:val="0"/>
          <w:numId w:val="3"/>
        </w:numPr>
        <w:spacing w:after="60" w:before="40"/>
      </w:pPr>
      <w:r>
        <w:rPr>
          <w:b/>
          <w:bCs/>
          <w:color w:val="000000"/>
          <w:sz w:val="22"/>
          <w:szCs w:val="22"/>
        </w:rPr>
        <w:t xml:space="preserve">Beli hanya karena warna hijau </w:t>
      </w:r>
      <w:r>
        <w:rPr>
          <w:sz w:val="22"/>
          <w:szCs w:val="22"/>
        </w:rPr>
        <w:t xml:space="preserve">tanpa melihat skor dan komponen yang aktif</w:t>
      </w:r>
    </w:p>
    <w:p>
      <w:pPr>
        <w:pStyle w:val="ListParagraph"/>
        <w:numPr>
          <w:ilvl w:val="0"/>
          <w:numId w:val="3"/>
        </w:numPr>
        <w:spacing w:after="60" w:before="40"/>
      </w:pPr>
      <w:r>
        <w:rPr>
          <w:b/>
          <w:bCs/>
          <w:color w:val="000000"/>
          <w:sz w:val="22"/>
          <w:szCs w:val="22"/>
        </w:rPr>
        <w:t xml:space="preserve">Mengabaikan fase Wyckoff </w:t>
      </w:r>
      <w:r>
        <w:rPr>
          <w:sz w:val="22"/>
          <w:szCs w:val="22"/>
        </w:rPr>
        <w:t xml:space="preserve">— BUY di fase Distribusi adalah jebakan yang sering memakan retail</w:t>
      </w:r>
    </w:p>
    <w:p>
      <w:pPr>
        <w:pStyle w:val="ListParagraph"/>
        <w:numPr>
          <w:ilvl w:val="0"/>
          <w:numId w:val="3"/>
        </w:numPr>
        <w:spacing w:after="60" w:before="40"/>
      </w:pPr>
      <w:r>
        <w:rPr>
          <w:b/>
          <w:bCs/>
          <w:color w:val="000000"/>
          <w:sz w:val="22"/>
          <w:szCs w:val="22"/>
        </w:rPr>
        <w:t xml:space="preserve">Terlalu mengandalkan satu komponen </w:t>
      </w:r>
      <w:r>
        <w:rPr>
          <w:sz w:val="22"/>
          <w:szCs w:val="22"/>
        </w:rPr>
        <w:t xml:space="preserve">— misalnya hanya lihat RSI tinggi tanpa cek CMF dan MA</w:t>
      </w:r>
    </w:p>
    <w:p>
      <w:pPr>
        <w:pStyle w:val="ListParagraph"/>
        <w:numPr>
          <w:ilvl w:val="0"/>
          <w:numId w:val="3"/>
        </w:numPr>
        <w:spacing w:after="60" w:before="40"/>
      </w:pPr>
      <w:r>
        <w:rPr>
          <w:b/>
          <w:bCs/>
          <w:color w:val="000000"/>
          <w:sz w:val="22"/>
          <w:szCs w:val="22"/>
        </w:rPr>
        <w:t xml:space="preserve">Tidak membedakan STRONG BUY dan BUY </w:t>
      </w:r>
      <w:r>
        <w:rPr>
          <w:sz w:val="22"/>
          <w:szCs w:val="22"/>
        </w:rPr>
        <w:t xml:space="preserve">dalam ukuran posisi — keduanya diperlakukan sama padahal kualitasnya berbeda</w:t>
      </w:r>
    </w:p>
    <w:p>
      <w:pPr>
        <w:pStyle w:val="ListParagraph"/>
        <w:numPr>
          <w:ilvl w:val="0"/>
          <w:numId w:val="3"/>
        </w:numPr>
        <w:spacing w:after="60" w:before="40"/>
      </w:pPr>
      <w:r>
        <w:rPr>
          <w:b/>
          <w:bCs/>
          <w:color w:val="000000"/>
          <w:sz w:val="22"/>
          <w:szCs w:val="22"/>
        </w:rPr>
        <w:t xml:space="preserve">Masuk saat saham sudah naik jauh </w:t>
      </w:r>
      <w:r>
        <w:rPr>
          <w:sz w:val="22"/>
          <w:szCs w:val="22"/>
        </w:rPr>
        <w:t xml:space="preserve">dari sinyal awal — FOMO setelah STRONG BUY sudah terkonfirmasi beberapa hari</w:t>
      </w:r>
    </w:p>
    <w:p>
      <w:pPr>
        <w:pStyle w:val="ListParagraph"/>
        <w:numPr>
          <w:ilvl w:val="0"/>
          <w:numId w:val="3"/>
        </w:numPr>
        <w:spacing w:after="60" w:before="40"/>
      </w:pPr>
      <w:r>
        <w:rPr>
          <w:b/>
          <w:bCs/>
          <w:color w:val="000000"/>
          <w:sz w:val="22"/>
          <w:szCs w:val="22"/>
        </w:rPr>
        <w:t xml:space="preserve">Mengabaikan konteks makro </w:t>
      </w:r>
      <w:r>
        <w:rPr>
          <w:sz w:val="22"/>
          <w:szCs w:val="22"/>
        </w:rPr>
        <w:t xml:space="preserve">— sinyal STRONG BUY di saham individual kurang bermakna jika IHSG sedang dalam tren turun</w:t>
      </w:r>
    </w:p>
    <w:p>
      <w:pPr>
        <w:pStyle w:val="ListParagraph"/>
        <w:numPr>
          <w:ilvl w:val="0"/>
          <w:numId w:val="3"/>
        </w:numPr>
        <w:spacing w:after="60" w:before="40"/>
      </w:pPr>
      <w:r>
        <w:rPr>
          <w:b/>
          <w:bCs/>
          <w:color w:val="000000"/>
          <w:sz w:val="22"/>
          <w:szCs w:val="22"/>
        </w:rPr>
        <w:t xml:space="preserve">Tidak ada stop loss </w:t>
      </w:r>
      <w:r>
        <w:rPr>
          <w:sz w:val="22"/>
          <w:szCs w:val="22"/>
        </w:rPr>
        <w:t xml:space="preserve">— sinyal sekuat apapun bisa salah; selalu tentukan SL sebelum masuk</w:t>
      </w:r>
    </w:p>
    <w:p>
      <w:pPr>
        <w:pBdr>
          <w:bottom w:val="single" w:color="AED6F1" w:sz="4" w:space="1"/>
        </w:pBdr>
        <w:spacing w:after="160" w:before="160"/>
      </w:pPr>
    </w:p>
    <w:p>
      <w:pPr>
        <w:pStyle w:val="Heading2"/>
        <w:spacing w:after="140" w:before="340"/>
      </w:pPr>
      <w:r>
        <w:rPr>
          <w:b/>
          <w:bCs/>
          <w:color w:val="1B4F72"/>
          <w:sz w:val="28"/>
          <w:szCs w:val="28"/>
        </w:rPr>
        <w:t xml:space="preserve">Kesimpulan</w:t>
      </w:r>
    </w:p>
    <w:p>
      <w:pPr>
        <w:spacing w:after="120" w:before="60"/>
      </w:pPr>
      <w:r>
        <w:rPr>
          <w:sz w:val="22"/>
          <w:szCs w:val="22"/>
        </w:rPr>
        <w:t xml:space="preserve">Sinyal beli saham yang baik bukan sekadar warna atau label — tapi konfirmasi dari beberapa komponen teknikal yang saling mendukung. STRONG BUY (skor ≥9) dan BUY (skor ≥6) berbeda bukan hanya di angka, tapi di seberapa banyak bukti yang mendukung pergerakan harga ke depan.</w:t>
      </w:r>
    </w:p>
    <w:p>
      <w:pPr>
        <w:spacing w:after="120" w:before="60"/>
      </w:pPr>
      <w:r>
        <w:rPr>
          <w:sz w:val="22"/>
          <w:szCs w:val="22"/>
        </w:rPr>
        <w:t xml:space="preserve">Semakin banyak komponen yang sejalan — MA, Donchian, CMF, RSI, KNN AI, dan Candlestick — semakin tinggi probabilitas keberhasilan trade. Tambahkan konteks fase Wyckoff dan net foreign flow, dan kamu punya sistem analisis teknikal saham yang jauh lebih terstruktur dari sekadar "kelihatan naik".</w:t>
      </w:r>
    </w:p>
    <w:p>
      <w:pPr>
        <w:spacing w:after="120" w:before="60"/>
      </w:pPr>
      <w:r>
        <w:rPr>
          <w:sz w:val="22"/>
          <w:szCs w:val="22"/>
        </w:rPr>
        <w:t xml:space="preserve">Gunakan sinyal sebagai peta, bukan autopilot. Analisis tetap diperlukan, tapi keputusan eksekusi jadi jauh lebih objektif dan berbasis data.</w:t>
      </w:r>
    </w:p>
    <w:p>
      <w:pPr>
        <w:pBdr>
          <w:top w:val="single" w:color="2980B9" w:sz="6"/>
          <w:left w:val="single" w:color="2980B9" w:sz="20"/>
          <w:bottom w:val="single" w:color="2980B9" w:sz="6"/>
          <w:right w:val="single" w:color="2980B9" w:sz="6"/>
        </w:pBdr>
        <w:shd w:fill="D6EAF8" w:val="clear"/>
        <w:spacing w:after="200" w:before="200"/>
        <w:ind w:left="360" w:right="360"/>
      </w:pPr>
      <w:r>
        <w:rPr>
          <w:sz w:val="22"/>
          <w:szCs w:val="22"/>
        </w:rPr>
        <w:t xml:space="preserve">Untuk menggunakan sinyal STRONG BUY, BUY, fase Wyckoff, dan net foreign flow secara langsung di lebih dari ratusan saham IDX dan Wall Street, kunjungi </w:t>
      </w:r>
      <w:hyperlink w:history="1" r:id="rIdrxayr6vzvss9kme5w3nl-">
        <w:r>
          <w:rPr>
            <w:b/>
            <w:bCs/>
            <w:color w:val="2980B9"/>
            <w:sz w:val="22"/>
            <w:szCs w:val="22"/>
            <w:u w:val="single"/>
          </w:rPr>
          <w:t xml:space="preserve">Ultimate Smart Money Analyst (smartscreener.streamlit.app)</w:t>
        </w:r>
      </w:hyperlink>
      <w:r>
        <w:rPr>
          <w:sz w:val="22"/>
          <w:szCs w:val="22"/>
        </w:rPr>
        <w:t xml:space="preserve"> — screener saham syariah berbasis AI.</w:t>
      </w:r>
    </w:p>
    <w:p>
      <w:pPr>
        <w:pBdr>
          <w:bottom w:val="single" w:color="AED6F1" w:sz="4" w:space="1"/>
        </w:pBdr>
        <w:spacing w:after="160" w:before="160"/>
      </w:pPr>
    </w:p>
    <w:p>
      <w:pPr>
        <w:pStyle w:val="Heading2"/>
        <w:spacing w:after="140" w:before="340"/>
      </w:pPr>
      <w:r>
        <w:rPr>
          <w:b/>
          <w:bCs/>
          <w:color w:val="1B4F72"/>
          <w:sz w:val="28"/>
          <w:szCs w:val="28"/>
        </w:rPr>
        <w:t xml:space="preserve">FAQ: Sinyal Beli Saham</w:t>
      </w:r>
    </w:p>
    <w:p>
      <w:pPr>
        <w:spacing w:before="80"/>
      </w:pPr>
    </w:p>
    <w:p>
      <w:pPr>
        <w:spacing w:after="40" w:before="80"/>
      </w:pPr>
      <w:r>
        <w:rPr>
          <w:b/>
          <w:bCs/>
          <w:color w:val="2980B9"/>
          <w:sz w:val="22"/>
          <w:szCs w:val="22"/>
        </w:rPr>
        <w:t xml:space="preserve">Q: Apakah STRONG BUY berarti saya pasti untung?</w:t>
      </w:r>
    </w:p>
    <w:p>
      <w:pPr>
        <w:spacing w:after="120" w:before="60"/>
      </w:pPr>
      <w:r>
        <w:rPr>
          <w:sz w:val="22"/>
          <w:szCs w:val="22"/>
        </w:rPr>
        <w:t xml:space="preserve">A: Tidak ada sinyal yang menjamin profit — STRONG BUY berarti probabilitas naik lebih tinggi berdasarkan data historis dan kondisi teknikal saat ini. Probabilitas 60–65% masih berarti 35–40% kemungkinan salah. Itulah mengapa stop loss dan position sizing tetap wajib, bahkan untuk STRONG BUY sekalipun.</w:t>
      </w:r>
    </w:p>
    <w:p>
      <w:pPr>
        <w:spacing w:after="40" w:before="160"/>
      </w:pPr>
      <w:r>
        <w:rPr>
          <w:b/>
          <w:bCs/>
          <w:color w:val="2980B9"/>
          <w:sz w:val="22"/>
          <w:szCs w:val="22"/>
        </w:rPr>
        <w:t xml:space="preserve">Q: Berapa lama sinyal STRONG BUY berlaku?</w:t>
      </w:r>
    </w:p>
    <w:p>
      <w:pPr>
        <w:spacing w:after="120" w:before="60"/>
      </w:pPr>
      <w:r>
        <w:rPr>
          <w:sz w:val="22"/>
          <w:szCs w:val="22"/>
        </w:rPr>
        <w:t xml:space="preserve">A: Sinyal dihitung ulang setiap hari berdasarkan data penutupan terbaru. Artinya sinyal STRONG BUY hari ini bisa berubah jadi BUY atau bahkan NEUTRAL besok jika ada pergerakan harga signifikan. Idealnya eksekusi dilakukan pada hari sinyal keluar atau paling lambat 1–2 hari setelahnya.</w:t>
      </w:r>
    </w:p>
    <w:p>
      <w:pPr>
        <w:spacing w:after="40" w:before="160"/>
      </w:pPr>
      <w:r>
        <w:rPr>
          <w:b/>
          <w:bCs/>
          <w:color w:val="2980B9"/>
          <w:sz w:val="22"/>
          <w:szCs w:val="22"/>
        </w:rPr>
        <w:t xml:space="preserve">Q: Apa yang harus dilakukan jika sinyal berubah dari STRONG BUY ke WAIT setelah saya sudah masuk?</w:t>
      </w:r>
    </w:p>
    <w:p>
      <w:pPr>
        <w:spacing w:after="120" w:before="60"/>
      </w:pPr>
      <w:r>
        <w:rPr>
          <w:sz w:val="22"/>
          <w:szCs w:val="22"/>
        </w:rPr>
        <w:t xml:space="preserve">A: Jangan panik dan jangan langsung cut loss — lihat dulu apakah harga sudah mencapai level stop loss yang sudah dipasang. Perubahan sinyal adalah peringatan untuk lebih waspada, bukan instruksi otomatis untuk keluar. Jika harga masih di atas SL, pertahankan posisi dan perketat trailing stop.</w:t>
      </w:r>
    </w:p>
    <w:p>
      <w:pPr>
        <w:pBdr>
          <w:bottom w:val="single" w:color="AED6F1" w:sz="4" w:space="1"/>
        </w:pBdr>
        <w:spacing w:after="160" w:before="160"/>
      </w:pPr>
    </w:p>
    <w:p>
      <w:pPr>
        <w:spacing w:before="60"/>
        <w:jc w:val="center"/>
      </w:pPr>
      <w:r>
        <w:rPr>
          <w:color w:val="666666"/>
          <w:sz w:val="18"/>
          <w:szCs w:val="18"/>
        </w:rPr>
        <w:t xml:space="preserve">Artikel SEO | versokit.com  |  Seri: Super Screener &amp; Sinyal  |  App: </w:t>
      </w:r>
      <w:hyperlink w:history="1" r:id="rIdllme7jz4ofslkuz5iv15o">
        <w:r>
          <w:rPr>
            <w:color w:val="2980B9"/>
            <w:sz w:val="18"/>
            <w:szCs w:val="18"/>
            <w:u w:val="single"/>
          </w:rPr>
          <w:t xml:space="preserve">https://smartscreener.streamlit.app</w:t>
        </w:r>
      </w:hyperlink>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0"/>
      <w:outlineLvl w:val="0"/>
    </w:pPr>
    <w:rPr>
      <w:rFonts w:ascii="Arial" w:cs="Arial" w:eastAsia="Arial" w:hAnsi="Arial"/>
      <w:b/>
      <w:bCs/>
      <w:color w:val="1B4F72"/>
      <w:sz w:val="38"/>
      <w:szCs w:val="38"/>
    </w:rPr>
  </w:style>
  <w:style w:type="paragraph" w:styleId="Heading2">
    <w:name w:val="Heading 2"/>
    <w:basedOn w:val="Normal"/>
    <w:next w:val="Normal"/>
    <w:pPr>
      <w:spacing w:after="140" w:before="340"/>
      <w:outlineLvl w:val="1"/>
    </w:pPr>
    <w:rPr>
      <w:rFonts w:ascii="Arial" w:cs="Arial" w:eastAsia="Arial" w:hAnsi="Arial"/>
      <w:b/>
      <w:bCs/>
      <w:color w:val="1B4F72"/>
      <w:sz w:val="28"/>
      <w:szCs w:val="28"/>
    </w:rPr>
  </w:style>
  <w:style w:type="paragraph" w:styleId="Heading3">
    <w:name w:val="Heading 3"/>
    <w:basedOn w:val="Normal"/>
    <w:next w:val="Normal"/>
    <w:pPr>
      <w:spacing w:after="80" w:before="240"/>
      <w:outlineLvl w:val="2"/>
    </w:pPr>
    <w:rPr>
      <w:rFonts w:ascii="Arial" w:cs="Arial" w:eastAsia="Arial" w:hAnsi="Arial"/>
      <w:b/>
      <w:bCs/>
      <w:color w:val="2980B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xayr6vzvss9kme5w3nl-" Type="http://schemas.openxmlformats.org/officeDocument/2006/relationships/hyperlink" Target="https://smartscreener.streamlit.app" TargetMode="External"/><Relationship Id="rIdllme7jz4ofslkuz5iv15o" Type="http://schemas.openxmlformats.org/officeDocument/2006/relationships/hyperlink" Target="https://smartscreener.streamlit.app"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2026-06-02T22:44:37.290Z</dcterms:created>
  <dcterms:modified xsi:type="dcterms:W3CDTF">2026-06-02T22:44:37.304Z</dcterms:modified>
</cp:coreProperties>
</file>

<file path=docProps/custom.xml><?xml version="1.0" encoding="utf-8"?>
<Properties xmlns="http://schemas.openxmlformats.org/officeDocument/2006/custom-properties" xmlns:vt="http://schemas.openxmlformats.org/officeDocument/2006/docPropsVTypes"/>
</file>