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Instructivo para la Inactivación y Retiro de Usuarios en el Sistema</w:t>
      </w:r>
    </w:p>
    <w:p>
      <w:pPr>
        <w:jc w:val="center"/>
      </w:pPr>
      <w:r>
        <w:rPr>
          <w:rFonts w:ascii="Arial" w:hAnsi="Arial"/>
          <w:i/>
          <w:sz w:val="22"/>
        </w:rPr>
        <w:t>Prevención de saldos negativos por procesos automáticos de recaudo</w:t>
      </w:r>
    </w:p>
    <w:p/>
    <w:p>
      <w:r>
        <w:t>Este instructivo establece las directrices y el procedimiento operativo para realizar la inactivación y retiro oportuno de usuarios en el sistema, garantizando la consistencia de la información financiera y evitando la generación de saldos negativos.</w:t>
      </w:r>
    </w:p>
    <w:p>
      <w:pPr>
        <w:pStyle w:val="Heading1"/>
      </w:pPr>
      <w:r>
        <w:t>OBJETIVO</w:t>
      </w:r>
    </w:p>
    <w:p>
      <w:r>
        <w:t>Establecer los pasos para realizar la inactivación y retiro oportuno de los usuarios en el sistema el mismo día en que realizan la devolución de su base, con el fin de evitar la ejecución automática de tareas de recaudo al cierre de la jornada y prevenir la generación de saldos negativos inconsistentes.</w:t>
      </w:r>
    </w:p>
    <w:p>
      <w:pPr>
        <w:pStyle w:val="Heading1"/>
      </w:pPr>
      <w:r>
        <w:t>ALCANCE</w:t>
      </w:r>
    </w:p>
    <w:p>
      <w:r>
        <w:t>Este instructivo aplica desde el momento en que el usuario o franquiciado realiza la devolución de su base y se informa a la jefe, y finaliza con la inactivación efectiva del usuario en el sistema Metabase antes del cierre de la empresa del mismo día.</w:t>
      </w:r>
    </w:p>
    <w:p>
      <w:pPr>
        <w:pStyle w:val="Heading1"/>
      </w:pPr>
      <w:r>
        <w:t>RESPONSABLES</w:t>
      </w:r>
    </w:p>
    <w:p>
      <w:r>
        <w:t>Los roles que intervienen en la ejecución, validación y control de este instructivo son los siguientes:</w:t>
      </w:r>
    </w:p>
    <w:p>
      <w:pPr>
        <w:pStyle w:val="ListBullet"/>
      </w:pPr>
      <w:r>
        <w:t>Ingeniero (Coordinación de Operaciones / Sistemas): Responsable de ejecutar directamente la inactivación del usuario en el sistema Metabase.</w:t>
      </w:r>
    </w:p>
    <w:p>
      <w:pPr>
        <w:pStyle w:val="ListBullet"/>
      </w:pPr>
      <w:r>
        <w:t>Coordinación de Operaciones: Responsable de asegurar que los procedimientos de retiro se apliquen correctamente y de manera oportuna.</w:t>
      </w:r>
    </w:p>
    <w:p>
      <w:pPr>
        <w:pStyle w:val="ListBullet"/>
      </w:pPr>
      <w:r>
        <w:t>Coordinación de Calidad: Responsable de validar, documentar y mantener actualizado este instructivo.</w:t>
      </w:r>
    </w:p>
    <w:p>
      <w:pPr>
        <w:pStyle w:val="Heading1"/>
      </w:pPr>
      <w:r>
        <w:t>DEFINICIONES</w:t>
      </w:r>
    </w:p>
    <w:p>
      <w:r>
        <w:t>Para la correcta interpretación y aplicación de este instructivo, se definen los siguientes términos técnicos:</w:t>
      </w:r>
    </w:p>
    <w:p>
      <w:pPr>
        <w:pStyle w:val="ListBullet"/>
      </w:pPr>
      <w:r>
        <w:t>Bloqueado por política de venta: Estado temporal en el sistema que no detiene las tareas automáticas de recaudo al cierre del día, lo que puede generar inconsistencias si el usuario ya no está activo.</w:t>
      </w:r>
    </w:p>
    <w:p>
      <w:pPr>
        <w:pStyle w:val="ListBullet"/>
      </w:pPr>
      <w:r>
        <w:t>Retirado: Estado definitivo que debe asignarse al usuario en el sistema para evitar que se ejecuten procesos automáticos de recaudo nocturnos.</w:t>
      </w:r>
    </w:p>
    <w:p>
      <w:pPr>
        <w:pStyle w:val="ListBullet"/>
      </w:pPr>
      <w:r>
        <w:t>Saldos negativos: Inconsistencias financieras generadas en las cuentas de los usuarios o franquiciados debido a la ejecución de recaudos automáticos sobre cuentas que no fueron retiradas oportunamente.</w:t>
      </w:r>
    </w:p>
    <w:p>
      <w:pPr>
        <w:pStyle w:val="Heading1"/>
      </w:pPr>
      <w:r>
        <w:t>CONDICIONES ESPECIALES</w:t>
      </w:r>
    </w:p>
    <w:p>
      <w:r>
        <w:t>Para el desarrollo de las actividades descritas en este instructivo, se deben cumplir estrictamente las siguientes directrices:</w:t>
      </w:r>
    </w:p>
    <w:p>
      <w:pPr>
        <w:pStyle w:val="ListBullet"/>
      </w:pPr>
      <w:r>
        <w:t>Oportunidad del registro: La inactivación del usuario debe ejecutarse de manera obligatoria el mismo día en que se realiza la devolución de la base.</w:t>
      </w:r>
    </w:p>
    <w:p>
      <w:pPr>
        <w:pStyle w:val="ListBullet"/>
      </w:pPr>
      <w:r>
        <w:t>Restricción horaria: El cambio de estado en el sistema debe quedar en firme antes del cierre diario de la empresa para evitar que se activen los procesos automáticos de recaudo nocturnos.</w:t>
      </w:r>
    </w:p>
    <w:p>
      <w:pPr>
        <w:pStyle w:val="Heading1"/>
      </w:pPr>
      <w:r>
        <w:t>PASO A PASO</w:t>
      </w:r>
    </w:p>
    <w:p>
      <w:r>
        <w:t>A continuación se detalla la secuencia de actividades para realizar el retiro e inactivación de usuarios:</w:t>
      </w:r>
    </w:p>
    <w:p>
      <w:pPr>
        <w:pStyle w:val="ListBullet"/>
      </w:pPr>
      <w:r>
        <w:t>1. Recepción de la devolución de base del usuario o franquiciado.</w:t>
      </w:r>
    </w:p>
    <w:p>
      <w:pPr>
        <w:pStyle w:val="ListBullet"/>
      </w:pPr>
      <w:r>
        <w:t>2. Notificación inmediata de la novedad (informar a la jefe).</w:t>
      </w:r>
    </w:p>
    <w:p>
      <w:pPr>
        <w:pStyle w:val="ListBullet"/>
      </w:pPr>
      <w:r>
        <w:t>3. Acceso al sistema Metabase por parte del Ingeniero responsable.</w:t>
      </w:r>
    </w:p>
    <w:p>
      <w:pPr>
        <w:pStyle w:val="ListBullet"/>
      </w:pPr>
      <w:r>
        <w:t>4. Modificación del estado del usuario directamente a 'Retirado' (evitando dejarlo únicamente en estado 'Bloqueado por política de venta').</w:t>
      </w:r>
    </w:p>
    <w:p>
      <w:pPr>
        <w:pStyle w:val="ListBullet"/>
      </w:pPr>
      <w:r>
        <w:t>5. Verificación y confirmación de que el cambio de estado ha quedado en firme antes del cierre de la empresa del mismo día.</w:t>
      </w:r>
    </w:p>
    <w:p>
      <w:pPr>
        <w:pStyle w:val="Heading1"/>
      </w:pPr>
      <w:r>
        <w:t>DOCUMENTOS DE REFERENCIA</w:t>
      </w:r>
    </w:p>
    <w:p>
      <w:r>
        <w:t>Se deben tener en cuenta los siguientes documentos complementarios para la ejecución de este proceso:</w:t>
      </w:r>
    </w:p>
    <w:p>
      <w:pPr>
        <w:pStyle w:val="ListBullet"/>
      </w:pPr>
      <w:r>
        <w:t>Documento de creación y retiro de usuarios (Coordinación de Operaciones).</w:t>
      </w:r>
    </w:p>
    <w:p>
      <w:pPr>
        <w:pStyle w:val="ListBullet"/>
      </w:pPr>
      <w:r>
        <w:t>El documento de la persona (soporte de identificación o registro del usuario).</w:t>
      </w:r>
    </w:p>
    <w:p>
      <w:pPr>
        <w:pStyle w:val="Heading1"/>
      </w:pPr>
      <w:r>
        <w:t>CONTROL DE CAMBIOS</w:t>
      </w:r>
    </w:p>
    <w:p>
      <w:r>
        <w:t>Historial de modificaciones realizadas a este instructivo:</w:t>
      </w:r>
    </w:p>
    <w:p>
      <w:r>
        <w:rPr>
          <w:b/>
        </w:rPr>
        <w:t>Control de Cambios del Instructivo</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FECHA</w:t>
            </w:r>
          </w:p>
        </w:tc>
        <w:tc>
          <w:tcPr>
            <w:tcW w:type="dxa" w:w="3135"/>
          </w:tcPr>
          <w:p>
            <w:r>
              <w:rPr>
                <w:b/>
              </w:rPr>
              <w:t>VERSIÓN</w:t>
            </w:r>
          </w:p>
        </w:tc>
        <w:tc>
          <w:tcPr>
            <w:tcW w:type="dxa" w:w="3135"/>
          </w:tcPr>
          <w:p>
            <w:r>
              <w:rPr>
                <w:b/>
              </w:rPr>
              <w:t>DESCRIPCIÓN DEL CAMBIO</w:t>
            </w:r>
          </w:p>
        </w:tc>
      </w:tr>
      <w:tr>
        <w:tc>
          <w:tcPr>
            <w:tcW w:type="dxa" w:w="3135"/>
          </w:tcPr>
          <w:p>
            <w:r>
              <w:t>18-06-2026</w:t>
            </w:r>
          </w:p>
        </w:tc>
        <w:tc>
          <w:tcPr>
            <w:tcW w:type="dxa" w:w="3135"/>
          </w:tcPr>
          <w:p>
            <w:r>
              <w:t>01</w:t>
            </w:r>
          </w:p>
        </w:tc>
        <w:tc>
          <w:tcPr>
            <w:tcW w:type="dxa" w:w="3135"/>
          </w:tcPr>
          <w:p>
            <w:r>
              <w:t>Creación del instructivo para estandarizar el retiro de usuarios y evitar saldos negativos por procesos automáticos.</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