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OFICIO DE RESOLUCIÓN</w:t>
      </w:r>
    </w:p>
    <w:p>
      <w:r>
        <w:t>{{ dependencia }}</w:t>
      </w:r>
    </w:p>
    <w:p>
      <w:r>
        <w:t>Folio: {{ folio }}</w:t>
        <w:tab/>
        <w:t>Fecha: {{ fecha }}</w:t>
      </w:r>
    </w:p>
    <w:p/>
    <w:p>
      <w:r>
        <w:t>Se hace constar que la solicitud presentada por {{ solicitante }}, con CURP {{ curp }}, para la obtención de una constancia de tipo {{ tipo_constancia }}, ha sido resuelta en estado {{ estado }}.</w:t>
      </w:r>
    </w:p>
    <w:p/>
    <w:p>
      <w:r>
        <w:t>________________________________________</w:t>
      </w:r>
    </w:p>
    <w:p>
      <w:r>
        <w:t>Firma electrónica del servidor público facultado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