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F13024" w14:textId="77777777" w:rsidR="00C81DA1" w:rsidRDefault="00C81DA1" w:rsidP="00C81DA1">
      <w:pPr>
        <w:ind w:left="0"/>
      </w:pPr>
      <w:r>
        <w:rPr>
          <w:noProof/>
        </w:rPr>
        <mc:AlternateContent>
          <mc:Choice Requires="wps">
            <w:drawing>
              <wp:anchor distT="5715" distB="81280" distL="5080" distR="81915" simplePos="0" relativeHeight="251659264" behindDoc="0" locked="0" layoutInCell="0" allowOverlap="1" wp14:anchorId="51D09F55" wp14:editId="4B7D59F1">
                <wp:simplePos x="0" y="0"/>
                <wp:positionH relativeFrom="margin">
                  <wp:align>left</wp:align>
                </wp:positionH>
                <wp:positionV relativeFrom="paragraph">
                  <wp:posOffset>-9525</wp:posOffset>
                </wp:positionV>
                <wp:extent cx="5880100" cy="8681085"/>
                <wp:effectExtent l="5080" t="5715" r="81915" b="81280"/>
                <wp:wrapNone/>
                <wp:docPr id="1" name="Rectangle: Rounded Corners 1"/>
                <wp:cNvGraphicFramePr/>
                <a:graphic xmlns:a="http://schemas.openxmlformats.org/drawingml/2006/main">
                  <a:graphicData uri="http://schemas.microsoft.com/office/word/2010/wordprocessingShape">
                    <wps:wsp>
                      <wps:cNvSpPr/>
                      <wps:spPr>
                        <a:xfrm>
                          <a:off x="0" y="0"/>
                          <a:ext cx="5880240" cy="8681040"/>
                        </a:xfrm>
                        <a:prstGeom prst="roundRect">
                          <a:avLst>
                            <a:gd name="adj" fmla="val 6190"/>
                          </a:avLst>
                        </a:prstGeom>
                        <a:solidFill>
                          <a:srgbClr val="FFFFFF"/>
                        </a:solidFill>
                        <a:ln w="9525">
                          <a:solidFill>
                            <a:srgbClr val="000000"/>
                          </a:solidFill>
                          <a:round/>
                        </a:ln>
                        <a:effectLst>
                          <a:outerShdw dist="107932" dir="2700000" algn="ctr" rotWithShape="0">
                            <a:srgbClr val="808080"/>
                          </a:outerShdw>
                        </a:effectLst>
                      </wps:spPr>
                      <wps:style>
                        <a:lnRef idx="0">
                          <a:scrgbClr r="0" g="0" b="0"/>
                        </a:lnRef>
                        <a:fillRef idx="0">
                          <a:scrgbClr r="0" g="0" b="0"/>
                        </a:fillRef>
                        <a:effectRef idx="0">
                          <a:scrgbClr r="0" g="0" b="0"/>
                        </a:effectRef>
                        <a:fontRef idx="minor"/>
                      </wps:style>
                      <wps:txb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6"/>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77777777"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60D3382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INSTITUT PEMERINTAHAN DALAM NEGERI</w:t>
                            </w:r>
                          </w:p>
                          <w:p w14:paraId="221EC2C8"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KAMPUS KALIMANTAN BARAT</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wps:txbx>
                      <wps:bodyPr anchor="t" upright="1">
                        <a:noAutofit/>
                      </wps:bodyPr>
                    </wps:wsp>
                  </a:graphicData>
                </a:graphic>
              </wp:anchor>
            </w:drawing>
          </mc:Choice>
          <mc:Fallback>
            <w:pict>
              <v:roundrect w14:anchorId="51D09F55" id="Rectangle: Rounded Corners 1" o:spid="_x0000_s1026" style="position:absolute;left:0;text-align:left;margin-left:0;margin-top:-.75pt;width:463pt;height:683.55pt;z-index:251659264;visibility:visible;mso-wrap-style:square;mso-wrap-distance-left:.4pt;mso-wrap-distance-top:.45pt;mso-wrap-distance-right:6.45pt;mso-wrap-distance-bottom:6.4pt;mso-position-horizontal:left;mso-position-horizontal-relative:margin;mso-position-vertical:absolute;mso-position-vertical-relative:text;v-text-anchor:top" arcsize="405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" o:allowincell="f">
                <v:shadow on="t" offset="2.11997mm,2.11997mm"/>
                <v:textbo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6"/>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77777777"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60D3382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INSTITUT PEMERINTAHAN DALAM NEGERI</w:t>
                      </w:r>
                    </w:p>
                    <w:p w14:paraId="221EC2C8"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KAMPUS KALIMANTAN BARAT</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v:textbox>
                <w10:wrap anchorx="margin"/>
              </v:roundrect>
            </w:pict>
          </mc:Fallback>
        </mc:AlternateContent>
      </w:r>
    </w:p>
    <w:p w14:paraId="5A44ACCD" w14:textId="77777777" w:rsidR="00C81DA1" w:rsidRDefault="00C81DA1" w:rsidP="00C81DA1">
      <w:pPr>
        <w:spacing w:line="276" w:lineRule="auto"/>
        <w:sectPr w:rsidR="00C81DA1" w:rsidSect="00C81DA1">
          <w:pgSz w:w="11906" w:h="16838" w:code="9"/>
          <w:pgMar w:top="1440" w:right="1440" w:bottom="1440" w:left="1440" w:header="720" w:footer="720" w:gutter="0"/>
          <w:cols w:space="720"/>
          <w:docGrid w:linePitch="360"/>
        </w:sectPr>
      </w:pPr>
    </w:p>
    <w:p w14:paraId="78037907" w14:textId="593154EB" w:rsidR="00C81DA1" w:rsidRDefault="00C81DA1" w:rsidP="00C81DA1">
      <w:pPr>
        <w:pStyle w:val="Heading1"/>
      </w:pPr>
      <w:r>
        <w:lastRenderedPageBreak/>
        <w:t>Pendahuluan</w:t>
      </w:r>
    </w:p>
    <w:p w14:paraId="5493A984" w14:textId="77777777" w:rsidR="000B51FF" w:rsidRPr="000B51FF" w:rsidRDefault="000B51FF" w:rsidP="00163F7C">
      <w:pPr>
        <w:spacing w:before="0"/>
      </w:pPr>
    </w:p>
    <w:p w14:paraId="495DC0A7" w14:textId="7EEDC485" w:rsidR="00C81DA1" w:rsidRDefault="00C81DA1" w:rsidP="00163F7C">
      <w:pPr>
        <w:pStyle w:val="Heading2"/>
        <w:spacing w:before="0"/>
        <w:rPr>
          <w:lang w:val="en-US"/>
        </w:rPr>
      </w:pPr>
      <w:r>
        <w:rPr>
          <w:lang w:val="en-US"/>
        </w:rPr>
        <w:t>Latar Belakang</w:t>
      </w:r>
    </w:p>
    <w:p w14:paraId="063F6E1F" w14:textId="77777777" w:rsidR="00044053" w:rsidRDefault="00044053" w:rsidP="00163F7C">
      <w:pPr>
        <w:spacing w:before="0"/>
      </w:pPr>
      <w:r>
        <w:t xml:space="preserve">Institut Pemerintahan Dalam Negeri (IPDN) sebagai lembaga pendidikan kedinasan memiliki sistem pembelajaran terintegrasi yang tersebar di kampus pusat dan kampus daerah. Salah satu kampus daerah tersebut adalah IPDN Kampus Kalimantan Barat, yang berperan strategis dalam pelaksanaan pendidikan kepamongprajaan di wilayah regional. Sejalan dengan Peraturan Rektor Institut Pemerintahan Dalam Negeri Nomor 4 Tahun 2025 tentang Rencana Induk Pengembangan (RENIP) IPDN 2020–2045, pengembangan sistem pendidikan IPDN diarahkan pada digitalisasi pendidikan menuju implementasi </w:t>
      </w:r>
      <w:r w:rsidRPr="00044053">
        <w:rPr>
          <w:i/>
          <w:iCs/>
        </w:rPr>
        <w:t>hybrid learning</w:t>
      </w:r>
      <w:r>
        <w:t>. Kebijakan ini menuntut pemanfaatan teknologi digital secara efektif dan terukur, tidak hanya pada tataran administratif, tetapi juga pada peningkatan kualitas proses pembelajaran dan evaluasi akademik.</w:t>
      </w:r>
    </w:p>
    <w:p w14:paraId="4A70484B" w14:textId="77777777" w:rsidR="00044053" w:rsidRDefault="00044053" w:rsidP="00044053">
      <w:r>
        <w:t xml:space="preserve">Dalam kerangka implementasi kebijakan tersebut, pembelajaran daring menjadi salah satu komponen penting dalam mendukung model hybrid, khususnya melalui pembelajaran asinkron berbasis </w:t>
      </w:r>
      <w:r w:rsidRPr="00044053">
        <w:rPr>
          <w:i/>
          <w:iCs/>
        </w:rPr>
        <w:t>Learning Management System</w:t>
      </w:r>
      <w:r>
        <w:t xml:space="preserve"> (LMS). Pada pembelajaran asinkron, praja IPDN Kampus Kalimantan Barat mempelajari materi melalui video pembelajaran yang disediakan dosen sesuai dengan waktu belajar masing-masing. Meskipun menawarkan fleksibilitas dan efisiensi, pembelajaran asinkron menghadapi tantangan pada aspek pemantauan proses belajar, karena dosen tidak memiliki visibilitas langsung terhadap tingkat keterlibatan dan keseriusan praja saat menyimak materi. Akibatnya, proses pembelajaran berjalan tanpa umpan balik yang memadai terkait respons afektif dan keterlibatan praja.</w:t>
      </w:r>
    </w:p>
    <w:p w14:paraId="50924574" w14:textId="77777777" w:rsidR="00044053" w:rsidRDefault="00044053" w:rsidP="00044053">
      <w:r>
        <w:t xml:space="preserve">Kondisi tersebut berdampak pada sistem evaluasi pembelajaran yang cenderung berfokus pada penilaian berbasis hasil akhir, seperti kuis atau tugas, tanpa didukung data proses belajar yang objektif. Dalam konteks pendidikan kedinasan yang menekankan disiplin, keterukuran, dan keadilan penilaian, keterbatasan ini berpotensi menimbulkan bias </w:t>
      </w:r>
      <w:r>
        <w:lastRenderedPageBreak/>
        <w:t>evaluasi. Oleh karena itu, diperlukan mekanisme umpan balik berbasis teknologi yang mampu merekam indikator keterlibatan praja selama pembelajaran asinkron berlangsung, sehingga dosen memperoleh gambaran yang lebih komprehensif mengenai kualitas proses belajar.</w:t>
      </w:r>
    </w:p>
    <w:p w14:paraId="167F55AD" w14:textId="77777777" w:rsidR="00044053" w:rsidRDefault="00044053" w:rsidP="00044053">
      <w:r>
        <w:t xml:space="preserve">Salah satu pendekatan yang potensial untuk menjawab kebutuhan tersebut adalah pemanfaatan teknologi </w:t>
      </w:r>
      <w:r w:rsidRPr="00044053">
        <w:rPr>
          <w:i/>
          <w:iCs/>
        </w:rPr>
        <w:t>Facial Expression Recognition</w:t>
      </w:r>
      <w:r>
        <w:t xml:space="preserve"> (FER) berbasis </w:t>
      </w:r>
      <w:r w:rsidRPr="00AE149E">
        <w:rPr>
          <w:i/>
          <w:iCs/>
        </w:rPr>
        <w:t>webcam</w:t>
      </w:r>
      <w:r>
        <w:t xml:space="preserve"> yang terpasang pada komputer atau laptop praja. Teknologi ini memungkinkan pendeteksian ekspresi wajah sebagai representasi respons afektif praja saat menyimak video pembelajaran. Data emosi wajah yang dihasilkan dapat digunakan sebagai data dukung dalam evaluasi pembelajaran, melengkapi penilaian berbasis hasil dengan penilaian berbasis proses belajar.</w:t>
      </w:r>
    </w:p>
    <w:p w14:paraId="02991B68" w14:textId="126033E2" w:rsidR="00044053" w:rsidRDefault="00044053" w:rsidP="000877D3">
      <w:r>
        <w:t>Pemilihan IPDN Kampus Kalimantan Barat sebagai lokasi pelaksanaan didasarkan pada pertimbangan strategis, yaitu jumlah praja yang relatif lebih terkendali dan struktur pembelajaran yang lebih fleksibel dibandingkan kampus pusat, sehingga memungkinkan implementasi dan pengujian sistem secara lebih efektif. Pendekatan ini diharapkan dapat berfungsi sebagai pilot project dalam pengembangan model pemantauan pembelajaran asinkron berbasis teknologi kecerdasan buatan. Apabila implementasi terbukti efektif, model ini berpotensi direplikasi dan dikembangkan sebagai role model penerapan digitalisasi pembelajaran di seluruh lingkungan IPDN secara bertahap dan berkelanjutan.</w:t>
      </w:r>
    </w:p>
    <w:p w14:paraId="0FB325D8" w14:textId="77777777" w:rsidR="000877D3" w:rsidRPr="00044053" w:rsidRDefault="000877D3" w:rsidP="000877D3">
      <w:pPr>
        <w:spacing w:before="0"/>
      </w:pPr>
    </w:p>
    <w:p w14:paraId="7264EC89" w14:textId="55C87DBC" w:rsidR="00C81DA1" w:rsidRDefault="00C81DA1" w:rsidP="000877D3">
      <w:pPr>
        <w:pStyle w:val="Heading2"/>
        <w:spacing w:before="0"/>
        <w:rPr>
          <w:lang w:val="en-US"/>
        </w:rPr>
      </w:pPr>
      <w:r>
        <w:rPr>
          <w:lang w:val="en-US"/>
        </w:rPr>
        <w:t>Identifikasi Masalah</w:t>
      </w:r>
    </w:p>
    <w:p w14:paraId="078C79DB" w14:textId="67451C85" w:rsidR="00AE149E" w:rsidRDefault="00AE149E" w:rsidP="00163F7C">
      <w:pPr>
        <w:spacing w:before="0"/>
      </w:pPr>
      <w:r>
        <w:t>Berdasarkan penjelasan latar belakang di atas, diidentifikasikan masalah-masalah sebagai berikut :</w:t>
      </w:r>
    </w:p>
    <w:p w14:paraId="134D5B18" w14:textId="77777777" w:rsidR="00AE149E" w:rsidRDefault="00AE149E" w:rsidP="00AE149E">
      <w:pPr>
        <w:pStyle w:val="ListParagraph"/>
        <w:numPr>
          <w:ilvl w:val="0"/>
          <w:numId w:val="6"/>
        </w:numPr>
      </w:pPr>
      <w:r>
        <w:t>Pembelajaran asinkron berbasis Learning Management System (LMS) di IPDN Kampus Kalimantan Barat belum didukung oleh mekanisme pemantauan yang mampu mengukur tingkat keterlibatan dan keseriusan praja selama menyimak materi video pembelajaran.</w:t>
      </w:r>
    </w:p>
    <w:p w14:paraId="1FB0CAF9" w14:textId="77777777" w:rsidR="00AE149E" w:rsidRDefault="00AE149E" w:rsidP="00AE149E">
      <w:pPr>
        <w:pStyle w:val="ListParagraph"/>
        <w:numPr>
          <w:ilvl w:val="0"/>
          <w:numId w:val="6"/>
        </w:numPr>
      </w:pPr>
      <w:r>
        <w:t xml:space="preserve">Sistem penilaian pembelajaran daring masih lebih menitikberatkan pada capaian hasil akhir, seperti kuis dan tugas, sehingga data proses </w:t>
      </w:r>
      <w:r>
        <w:lastRenderedPageBreak/>
        <w:t>belajar praja belum dimanfaatkan secara optimal sebagai dasar penilaian yang objektif dan berkeadilan.</w:t>
      </w:r>
    </w:p>
    <w:p w14:paraId="1CD7D47D" w14:textId="34933DEA" w:rsidR="008D55D8" w:rsidRDefault="00AE149E" w:rsidP="00163F7C">
      <w:pPr>
        <w:pStyle w:val="ListParagraph"/>
        <w:numPr>
          <w:ilvl w:val="0"/>
          <w:numId w:val="6"/>
        </w:numPr>
        <w:spacing w:after="240"/>
      </w:pPr>
      <w:r>
        <w:t>Pembelajaran asinkron di IPDN Kampus Kalimantan Barat belum menerapkan teknologi berbasis kecerdasan buatan yang mampu merekam respons afektif praja sebagai bentuk umpan balik selama proses pembelajaran berlangsung.</w:t>
      </w:r>
    </w:p>
    <w:p w14:paraId="0FBB1BCB" w14:textId="77777777" w:rsidR="004B74C3" w:rsidRPr="00AE149E" w:rsidRDefault="004B74C3" w:rsidP="004B74C3">
      <w:pPr>
        <w:pStyle w:val="ListParagraph"/>
        <w:spacing w:before="0"/>
      </w:pPr>
    </w:p>
    <w:p w14:paraId="5CC7CFD2" w14:textId="72A75142" w:rsidR="00C81DA1" w:rsidRPr="00FC15E9" w:rsidRDefault="00C81DA1" w:rsidP="00163F7C">
      <w:pPr>
        <w:pStyle w:val="Heading2"/>
        <w:spacing w:before="0"/>
        <w:rPr>
          <w:lang w:val="en-US"/>
        </w:rPr>
      </w:pPr>
      <w:r>
        <w:rPr>
          <w:lang w:val="en-US"/>
        </w:rPr>
        <w:t>Maksud dan Tujuan</w:t>
      </w:r>
    </w:p>
    <w:p w14:paraId="4D18FFCF" w14:textId="77777777" w:rsidR="00421C5C" w:rsidRDefault="00FC15E9" w:rsidP="00163F7C">
      <w:pPr>
        <w:spacing w:before="0"/>
      </w:pPr>
      <w:r>
        <w:t>Pekerjaan</w:t>
      </w:r>
      <w:r w:rsidRPr="00FC15E9">
        <w:t xml:space="preserve"> ini dimaksudkan untuk mengimplementasikan mekanisme pemantauan pembelajaran asinkron berbasis teknologi kecerdasan buatan pada </w:t>
      </w:r>
      <w:r w:rsidRPr="00421C5C">
        <w:rPr>
          <w:i/>
          <w:iCs/>
        </w:rPr>
        <w:t xml:space="preserve">Learning Management System </w:t>
      </w:r>
      <w:r w:rsidRPr="00FC15E9">
        <w:t>(LMS) di IPDN Kampus Kalimantan Barat, sebagai upaya meningkatkan objektivitas, akuntabilitas, dan keadilan dalam evaluasi pembelajaran daring.</w:t>
      </w:r>
      <w:r w:rsidR="00421C5C">
        <w:t xml:space="preserve"> Adapun tujuan dari pekerjaan ini antara lain:</w:t>
      </w:r>
    </w:p>
    <w:p w14:paraId="3B687FAA" w14:textId="77777777" w:rsidR="00421C5C" w:rsidRDefault="00421C5C" w:rsidP="00421C5C">
      <w:pPr>
        <w:pStyle w:val="ListParagraph"/>
        <w:numPr>
          <w:ilvl w:val="0"/>
          <w:numId w:val="10"/>
        </w:numPr>
      </w:pPr>
      <w:r>
        <w:t>Mengimplementasikan sistem pemantauan keterlibatan praja pada pembelajaran asinkron melalui deteksi respons afektif berbasis ekspresi wajah saat praja menyimak video pembelajaran.</w:t>
      </w:r>
    </w:p>
    <w:p w14:paraId="3CBE8658" w14:textId="77777777" w:rsidR="00421C5C" w:rsidRDefault="00421C5C" w:rsidP="00421C5C">
      <w:pPr>
        <w:pStyle w:val="ListParagraph"/>
        <w:numPr>
          <w:ilvl w:val="0"/>
          <w:numId w:val="10"/>
        </w:numPr>
      </w:pPr>
      <w:r>
        <w:t>Menyediakan data dukung berbasis proses belajar yang dapat dimanfaatkan dosen sebagai bahan pertimbangan dalam evaluasi pembelajaran daring.</w:t>
      </w:r>
    </w:p>
    <w:p w14:paraId="13561272" w14:textId="3401507D" w:rsidR="00421C5C" w:rsidRDefault="00421C5C" w:rsidP="00421C5C">
      <w:pPr>
        <w:pStyle w:val="ListParagraph"/>
        <w:numPr>
          <w:ilvl w:val="0"/>
          <w:numId w:val="10"/>
        </w:numPr>
        <w:sectPr w:rsidR="00421C5C" w:rsidSect="00C81DA1">
          <w:pgSz w:w="11906" w:h="16838" w:code="9"/>
          <w:pgMar w:top="1440" w:right="1440" w:bottom="1440" w:left="1440" w:header="720" w:footer="720" w:gutter="0"/>
          <w:cols w:space="720"/>
          <w:docGrid w:linePitch="360"/>
        </w:sectPr>
      </w:pPr>
      <w:r>
        <w:t>Membangun model implementasi awal pemanfaatan teknologi deteksi ekspresi wajah pada pembelajaran asinkron di IPDN Kampus Kalimantan Barat yang siap dikembangkan lebih lanjut.</w:t>
      </w:r>
    </w:p>
    <w:p w14:paraId="5B769B62" w14:textId="25B372C4" w:rsidR="00C81DA1" w:rsidRDefault="00C81DA1" w:rsidP="00C81DA1">
      <w:pPr>
        <w:pStyle w:val="Heading1"/>
      </w:pPr>
      <w:r>
        <w:lastRenderedPageBreak/>
        <w:t>Kerangka Teori</w:t>
      </w:r>
    </w:p>
    <w:p w14:paraId="7046903C" w14:textId="77777777" w:rsidR="001B417D" w:rsidRPr="001B417D" w:rsidRDefault="001B417D" w:rsidP="00163F7C">
      <w:pPr>
        <w:spacing w:before="0"/>
      </w:pPr>
    </w:p>
    <w:p w14:paraId="27B437DB" w14:textId="174E44E2" w:rsidR="00405063" w:rsidRDefault="00C81DA1" w:rsidP="00163F7C">
      <w:pPr>
        <w:pStyle w:val="Heading2"/>
        <w:numPr>
          <w:ilvl w:val="0"/>
          <w:numId w:val="4"/>
        </w:numPr>
        <w:spacing w:before="0"/>
        <w:ind w:left="357" w:hanging="357"/>
        <w:rPr>
          <w:lang w:val="en-US"/>
        </w:rPr>
      </w:pPr>
      <w:r>
        <w:rPr>
          <w:lang w:val="en-US"/>
        </w:rPr>
        <w:t>Tinjauan Teoritis</w:t>
      </w:r>
    </w:p>
    <w:p w14:paraId="34482707" w14:textId="0D98213B" w:rsidR="00776E70" w:rsidRDefault="00405063" w:rsidP="00E26DE3">
      <w:pPr>
        <w:pStyle w:val="ListParagraph"/>
        <w:numPr>
          <w:ilvl w:val="0"/>
          <w:numId w:val="11"/>
        </w:numPr>
        <w:spacing w:before="0"/>
      </w:pPr>
      <w:r>
        <w:t xml:space="preserve">Pembelajaran asinkron berbasis LMS memungkinkan </w:t>
      </w:r>
      <w:r w:rsidR="002F1C5F">
        <w:t>praja</w:t>
      </w:r>
      <w:r>
        <w:t xml:space="preserve"> mengakses materi, tugas, dan forum diskusi secara fleksibel tanpa harus hadir pada waktu yang sama, tetapi menuntut kemampuan regulasi diri yang tinggi dan mengurangi interaksi langsung dengan pengajar. Model ini terbukti efektif mendukung pembelajaran mandiri, namun mempersulit pemantauan keterlibatan </w:t>
      </w:r>
      <w:r w:rsidR="002F1C5F">
        <w:t>praja</w:t>
      </w:r>
      <w:r>
        <w:t xml:space="preserve"> selama proses belajar berlangsung</w:t>
      </w:r>
      <w:r w:rsidR="00776E70">
        <w:t xml:space="preserve"> </w:t>
      </w:r>
      <w:r w:rsidR="00776E70">
        <w:fldChar w:fldCharType="begin" w:fldLock="1"/>
      </w:r>
      <w:r w:rsidR="00776E70">
        <w:instrText>ADDIN CSL_CITATION {"citationItems":[{"id":"ITEM-1","itemData":{"DOI":"10.1186/s12909-024-05311-7","ISSN":"14726920","PMID":"38519950","abstract":"Background: The abrupt onset of the COVID-19 pandemic compelled universities to swiftly establish online teaching and learning environments that were not only immediately deployable but also conducive to high-quality education. This study aimed to compare the effectiveness of the online synchronous and asynchronous teaching formats in the dermatology lecture for undergraduate medical students, including academic performance, self-efficacy, and cognitive load. Methods: A total of 170 fourth-year undergraduate medical students attending the dermatology lecture were included. The lecture was delivered using both the synchronous method (live online lecture via Webex meeting) and the asynchronous method (lecture videos shared on YouTube). The students had the freedom to choose their preferred method of attending the online lecture. The study assessed three main aspects: (1) learning outcomes measured through pretest, posttest, and retention test scores; (2) cognitive load experienced by students, including mental load and mental effort measured using eight items; and (3) satisfaction levels with each online teaching format. Results: In this study, 70 students opted for the synchronous online lecture, while 100 students chose the asynchronous online lecture. Both synchronous and asynchronous teaching methods exhibited significant improvements in post and retention test scores compared to the pretest. Satisfaction levels, rated on a scale of 0–5, were generally high for both teaching methods, with no significant differences observed (4.6 for synchronous, 4.53 for asynchronous; p =.350). Regarding cognitive load, the synchronous method showed a significantly lower level than the asynchronous method (p =.0001). Subgroup analysis revealed no difference in mental effort (p =.0662), but the level of mental load was lower in the synchronous method (p =.0005). Conclusions: Both synchronous and asynchronous online teaching methods demonstrated improvements in learning outcomes and high levels of student satisfaction. However, the cognitive load experienced by students was lower in the synchronous setting compared to the asynchronous setting. These findings remind health professions educators that they would consider the students’ cognitive load when designing online curricula.","author":[{"dropping-particle":"","family":"Hung","given":"Chih Tsung","non-dropping-particle":"","parse-names":false,"suffix":""},{"dropping-particle":"","family":"Wu","given":"Shou En","non-dropping-particle":"","parse-names":false,"suffix":""},{"dropping-particle":"","family":"Chen","given":"Yi Hsien","non-dropping-particle":"","parse-names":false,"suffix":""},{"dropping-particle":"","family":"Soong","given":"Chen Yeu","non-dropping-particle":"","parse-names":false,"suffix":""},{"dropping-particle":"","family":"Chiang","given":"Chien</w:instrText>
      </w:r>
      <w:r w:rsidR="00776E70">
        <w:rPr>
          <w:rFonts w:ascii="Times New Roman" w:hAnsi="Times New Roman" w:cs="Times New Roman"/>
        </w:rPr>
        <w:instrText>‑</w:instrText>
      </w:r>
      <w:r w:rsidR="00776E70">
        <w:instrText>Ping","non-dropping-particle":"","parse-names":false,"suffix":""},{"dropping-particle":"","family":"Wang","given":"Wei</w:instrText>
      </w:r>
      <w:r w:rsidR="00776E70">
        <w:rPr>
          <w:rFonts w:ascii="Times New Roman" w:hAnsi="Times New Roman" w:cs="Times New Roman"/>
        </w:rPr>
        <w:instrText>‑</w:instrText>
      </w:r>
      <w:r w:rsidR="00776E70">
        <w:instrText>Ming","non-dropping-particle":"","parse-names":false,"suffix":""}],"container-title":"BMC Medical Education","id":"ITEM-1","issue":"1","issued":{"date-parts":[["2024"]]},"page":"1-8","title":"The evaluation of synchronous and asynchronous online learning: student experience, learning outcomes, and cognitive load","type":"article-journal","volume":"24"},"uris":["http://www.mendeley.com/documents/?uuid=894c27f4-4594-457f-931f-13070bd8e068"]}],"mendeley":{"formattedCitation":"(Hung dkk., 2024)","plainTextFormattedCitation":"(Hung dkk., 2024)","previouslyFormattedCitation":"(Hung dkk., 2024)"},"properties":{"noteIndex":0},"schema":"https://github.com/citation-style-language/schema/raw/master/csl-citation.json"}</w:instrText>
      </w:r>
      <w:r w:rsidR="00776E70">
        <w:fldChar w:fldCharType="separate"/>
      </w:r>
      <w:r w:rsidR="00776E70" w:rsidRPr="00776E70">
        <w:rPr>
          <w:noProof/>
        </w:rPr>
        <w:t>(Hung dkk., 2024)</w:t>
      </w:r>
      <w:r w:rsidR="00776E70">
        <w:fldChar w:fldCharType="end"/>
      </w:r>
      <w:r>
        <w:t>.</w:t>
      </w:r>
    </w:p>
    <w:p w14:paraId="5A0BEA49" w14:textId="7389C5FA" w:rsidR="00776E70" w:rsidRDefault="00405063" w:rsidP="00405063">
      <w:pPr>
        <w:pStyle w:val="ListParagraph"/>
        <w:numPr>
          <w:ilvl w:val="0"/>
          <w:numId w:val="11"/>
        </w:numPr>
      </w:pPr>
      <w:r>
        <w:t xml:space="preserve">Keterlibatan belajar dipahami sebagai konstruk multidimensi yang mencakup keterlibatan perilaku, emosional, dan kognitif yang saling berinteraksi dan berkontribusi terhadap keberhasilan belajar. Penelitian menunjukkan bahwa ketiga dimensi ini perlu dipertimbangkan secara bersamaan untuk memahami kualitas partisipasi </w:t>
      </w:r>
      <w:r w:rsidR="002F1C5F">
        <w:t>praja</w:t>
      </w:r>
      <w:r>
        <w:t xml:space="preserve"> dalam pembelajaran daring</w:t>
      </w:r>
      <w:r w:rsidR="00776E70">
        <w:t xml:space="preserve"> </w:t>
      </w:r>
      <w:r w:rsidR="00776E70">
        <w:fldChar w:fldCharType="begin" w:fldLock="1"/>
      </w:r>
      <w:r w:rsidR="00776E70">
        <w:instrText>ADDIN CSL_CITATION {"citationItems":[{"id":"ITEM-1","itemData":{"DOI":"10.1371/journal.pone.0278052","ISBN":"1111111111","ISSN":"19326203","PMID":"36413743","abstract":"A meaningful engagement of learners is critical in the quality teaching and learning of mathematics at school level. Learner engagement has been an ongoing issue in mathematics classrooms in Nepal and elsewhere. In this context, this study aimed to examine the level of engagement (behavioral, social, emotional, and cognitive activities) and their association with learning mathematics through the virtual mode of instruction during the pandemic. The cross-sectional online survey design was employed among 402 secondary-level mathematics teachers in Nepal. Descriptive statistics, correlation, and structural equation modeling were the major statistical techniques used in research. The findings indicate that the level of behavioral, social, emotional, and cognitive engagement of students was found to be high in the online mode of instruction. Additionally, cognitive engagement has significant highest impact on social, behavior, and emotional engagement.","author":[{"dropping-particle":"","family":"Joshi","given":"Dirgha Raj","non-dropping-particle":"","parse-names":false,"suffix":""},{"dropping-particle":"","family":"Adhikari","given":"Krishna Prasad","non-dropping-particle":"","parse-names":false,"suffix":""},{"dropping-particle":"","family":"Khanal","given":"Bishnu","non-dropping-particle":"","parse-names":false,"suffix":""},{"dropping-particle":"","family":"Khadka","given":"Jiban","non-dropping-particle":"","parse-names":false,"suffix":""},{"dropping-particle":"","family":"Belbase","given":"Shashidhar","non-dropping-particle":"","parse-names":false,"suffix":""}],"container-title":"PLoS ONE","id":"ITEM-1","issue":"11 November","issued":{"date-parts":[["2022"]]},"page":"1-22","title":"Behavioral, cognitive, emotional and social engagement in mathematics learning during COVID-19 pandemic","type":"article-journal","volume":"17"},"uris":["http://www.mendeley.com/documents/?uuid=bef3cd20-3297-46a9-8c65-7c24bcddff3b"]}],"mendeley":{"formattedCitation":"(Joshi dkk., 2022)","plainTextFormattedCitation":"(Joshi dkk., 2022)","previouslyFormattedCitation":"(Joshi dkk., 2022)"},"properties":{"noteIndex":0},"schema":"https://github.com/citation-style-language/schema/raw/master/csl-citation.json"}</w:instrText>
      </w:r>
      <w:r w:rsidR="00776E70">
        <w:fldChar w:fldCharType="separate"/>
      </w:r>
      <w:r w:rsidR="00776E70" w:rsidRPr="00776E70">
        <w:rPr>
          <w:noProof/>
        </w:rPr>
        <w:t>(Joshi dkk., 2022)</w:t>
      </w:r>
      <w:r w:rsidR="00776E70">
        <w:fldChar w:fldCharType="end"/>
      </w:r>
      <w:r>
        <w:t>.</w:t>
      </w:r>
    </w:p>
    <w:p w14:paraId="305C6D28" w14:textId="7709D774" w:rsidR="00776E70" w:rsidRDefault="00405063" w:rsidP="00405063">
      <w:pPr>
        <w:pStyle w:val="ListParagraph"/>
        <w:numPr>
          <w:ilvl w:val="0"/>
          <w:numId w:val="11"/>
        </w:numPr>
      </w:pPr>
      <w:r>
        <w:t xml:space="preserve">Dalam konteks pembelajaran </w:t>
      </w:r>
      <w:r w:rsidR="00776E70">
        <w:t>daring</w:t>
      </w:r>
      <w:r>
        <w:t xml:space="preserve">, keterlibatan emosional seperti minat, antusiasme, atau kebosanan berperan penting dalam mendorong keterlibatan kognitif dan perilaku, tetapi justru paling sulit diobservasi secara langsung. Keterbatasan ini menyebabkan banyak penelitian dan praktik evaluasi hanya mengandalkan </w:t>
      </w:r>
      <w:r w:rsidRPr="00776E70">
        <w:rPr>
          <w:i/>
          <w:iCs/>
        </w:rPr>
        <w:t>self-report</w:t>
      </w:r>
      <w:r>
        <w:t xml:space="preserve"> atau indikator aktivitas </w:t>
      </w:r>
      <w:r w:rsidR="00922D99" w:rsidRPr="00922D99">
        <w:rPr>
          <w:i/>
          <w:iCs/>
        </w:rPr>
        <w:t>paper</w:t>
      </w:r>
      <w:r w:rsidR="00922D99">
        <w:rPr>
          <w:i/>
          <w:iCs/>
        </w:rPr>
        <w:t>-</w:t>
      </w:r>
      <w:bookmarkStart w:id="0" w:name="_GoBack"/>
      <w:bookmarkEnd w:id="0"/>
      <w:r w:rsidR="00922D99" w:rsidRPr="00922D99">
        <w:rPr>
          <w:i/>
          <w:iCs/>
        </w:rPr>
        <w:t>based</w:t>
      </w:r>
      <w:r>
        <w:t xml:space="preserve"> yang kurang menggambarkan dinamika emosi selama belajar</w:t>
      </w:r>
      <w:r w:rsidR="00776E70">
        <w:t xml:space="preserve"> </w:t>
      </w:r>
      <w:r w:rsidR="00776E70">
        <w:fldChar w:fldCharType="begin" w:fldLock="1"/>
      </w:r>
      <w:r w:rsidR="00776E70">
        <w:instrText>ADDIN CSL_CITATION {"citationItems":[{"id":"ITEM-1","itemData":{"DOI":"10.17509/ijal.v12i3.46035","ISSN":"25026747","abstract":"The COVID-19 pandemic outbreak inevitably impacts teaching and learning activities worldwide. Online learning has been universally applied in education, including in higher education. In an online setting, student engagement plays a pivotal role in classroom as it identifies critical elements of the learning process that can increase learning and outcomes. However, there is a question about whether student engagement between synchronous and asynchronous online classrooms is indistinguishable. Therefore, this study investigates student engagement in a synchronous and asynchronous online classroom, particularly in an Indonesian English as a Foreign Language (EFL) context. A Likert-scale questionnaire and classroom observation (synchronous and asynchronous) were used to gather the data from 26 university students in a sample of EFL teaching in an Indonesian context. The study encompasses five elements of online engagement: social engagement, cognitive engagement, behavior engagement, collaborative engagement, and emotional engagement. The prominent finding has revealed that university student engagement in online learning has different significance levels. Most students are more involved in synchronous online activities as they can interact with their professors and peers in real time. Synchronous and asynchronous learning provide substantial and comparable results. This study implies that synchronous and asynchronous activities should be incorporated into online learning to get more engaging interaction among students. It is expected to contribute to the growing literature on the student-teacher dynamic in online education. Further research could explore student engagement in online learning from other perspectives, such as the teacher's perspective and the use of learning media.","author":[{"dropping-particle":"","family":"Yuyun","given":"Ignasia","non-dropping-particle":"","parse-names":false,"suffix":""}],"container-title":"Indonesian Journal of Applied Linguistics","id":"ITEM-1","issue":"3","issued":{"date-parts":[["2023"]]},"page":"634-653","title":"Investigating university student engagement in online learning: A case study in EFL classroom","type":"article-journal","volume":"12"},"uris":["http://www.mendeley.com/documents/?uuid=76e9cb30-6f79-44dc-8af8-58cffe82be3d"]}],"mendeley":{"formattedCitation":"(Yuyun, 2023)","plainTextFormattedCitation":"(Yuyun, 2023)","previouslyFormattedCitation":"(Yuyun, 2023)"},"properties":{"noteIndex":0},"schema":"https://github.com/citation-style-language/schema/raw/master/csl-citation.json"}</w:instrText>
      </w:r>
      <w:r w:rsidR="00776E70">
        <w:fldChar w:fldCharType="separate"/>
      </w:r>
      <w:r w:rsidR="00776E70" w:rsidRPr="00776E70">
        <w:rPr>
          <w:noProof/>
        </w:rPr>
        <w:t>(Yuyun, 2023)</w:t>
      </w:r>
      <w:r w:rsidR="00776E70">
        <w:fldChar w:fldCharType="end"/>
      </w:r>
      <w:r>
        <w:t>.</w:t>
      </w:r>
    </w:p>
    <w:p w14:paraId="0193078E" w14:textId="55835074" w:rsidR="00776E70" w:rsidRDefault="00405063" w:rsidP="00405063">
      <w:pPr>
        <w:pStyle w:val="ListParagraph"/>
        <w:numPr>
          <w:ilvl w:val="0"/>
          <w:numId w:val="11"/>
        </w:numPr>
      </w:pPr>
      <w:r>
        <w:t xml:space="preserve">Evaluasi pembelajaran online pada umumnya masih berfokus pada hasil akhir, seperti nilai tugas, kuis, dan ujian, sementara proses keterlibatan </w:t>
      </w:r>
      <w:r w:rsidR="002F1C5F">
        <w:t>praja</w:t>
      </w:r>
      <w:r>
        <w:t xml:space="preserve"> selama mengikuti aktivitas asinkron kurang terdokumentasi secara objektif. Hal ini mendorong kebutuhan pendekatan evaluasi yang lebih komprehensif yang menggabungkan indikator hasil belajar dengan data proses dan engagement </w:t>
      </w:r>
      <w:r w:rsidR="002F1C5F">
        <w:t>praja</w:t>
      </w:r>
      <w:r w:rsidR="00776E70">
        <w:t xml:space="preserve"> </w:t>
      </w:r>
      <w:r w:rsidR="00776E70">
        <w:fldChar w:fldCharType="begin" w:fldLock="1"/>
      </w:r>
      <w:r w:rsidR="00776E70">
        <w:instrText>ADDIN CSL_CITATION {"citationItems":[{"id":"ITEM-1","itemData":{"DOI":"10.35445/alishlah.v16i1.4579","ISSN":"2087-9490","abstract":"In developing the learners’ language competence, many educational institutions altered teachers to integrate computer-mediated communication (CMC) synchronously and asynchronously. However, the issue of engagement becomes another issue to be handled. Accordingly, in this literature review of 20 qualitative, 7 quantitative, and 8 mixed-method studies published in the high-ranked database from 2000-2021, we aim to examine the approaches to evaluate and indicators to facilitate the learners’ engagement, specifically on writing asynchronously. Asynchronous CMC became the concern of this study as it supports the learners to follow the simultaneous discussion and supports multiple learning styles. The reviewed studies were identified using behavior, cognition, and emotion approaches to evaluate the learners’ engagement. Thus, the types of indicators to facilitate the learners’ engagement are input, process, and outcomes. Finally, this review suggests it is useful to design writing courses that effectively conceptualize evaluation approaches and indicators to facilitate the learners’ engagement.","author":[{"dropping-particle":"","family":"Drajati","given":"Nur Arifah","non-dropping-particle":"","parse-names":false,"suffix":""},{"dropping-particle":"","family":"Rochsantiningsih","given":"Dewi","non-dropping-particle":"","parse-names":false,"suffix":""},{"dropping-particle":"","family":"Martono","given":"Martono","non-dropping-particle":"","parse-names":false,"suffix":""},{"dropping-particle":"","family":"Cahyaningrum","given":"Dewi","non-dropping-particle":"","parse-names":false,"suffix":""},{"dropping-particle":"","family":"PH","given":"Elisa Indriyani","non-dropping-particle":"","parse-names":false,"suffix":""},{"dropping-particle":"","family":"Tyarakanita","given":"Agustina","non-dropping-particle":"","parse-names":false,"suffix":""}],"container-title":"AL-ISHLAH: Jurnal Pendidikan","id":"ITEM-1","issue":"1","issued":{"date-parts":[["2024"]]},"page":"27-42","title":"Unveiling Engagement in Asynchronous Writing: A Comprehensive Exploration of Approaches and Indicators – A Systematic Literature Review","type":"article-journal","volume":"16"},"uris":["http://www.mendeley.com/documents/?uuid=790d9362-dafd-46e5-96f9-37cc9008b77a"]}],"mendeley":{"formattedCitation":"(Drajati dkk., 2024)","plainTextFormattedCitation":"(Drajati dkk., 2024)","previouslyFormattedCitation":"(Drajati dkk., 2024)"},"properties":{"noteIndex":0},"schema":"https://github.com/citation-style-language/schema/raw/master/csl-citation.json"}</w:instrText>
      </w:r>
      <w:r w:rsidR="00776E70">
        <w:fldChar w:fldCharType="separate"/>
      </w:r>
      <w:r w:rsidR="00776E70" w:rsidRPr="00776E70">
        <w:rPr>
          <w:noProof/>
        </w:rPr>
        <w:t>(Drajati dkk., 2024)</w:t>
      </w:r>
      <w:r w:rsidR="00776E70">
        <w:fldChar w:fldCharType="end"/>
      </w:r>
      <w:r>
        <w:t>.</w:t>
      </w:r>
    </w:p>
    <w:p w14:paraId="67BCAD5F" w14:textId="3B1D434C" w:rsidR="00776E70" w:rsidRDefault="00405063" w:rsidP="0074334B">
      <w:pPr>
        <w:pStyle w:val="ListParagraph"/>
        <w:numPr>
          <w:ilvl w:val="0"/>
          <w:numId w:val="11"/>
        </w:numPr>
      </w:pPr>
      <w:r>
        <w:t xml:space="preserve">Penelitian terkini memanfaatkan </w:t>
      </w:r>
      <w:r w:rsidRPr="00776E70">
        <w:rPr>
          <w:i/>
          <w:iCs/>
        </w:rPr>
        <w:t>Facial Expression Recognition</w:t>
      </w:r>
      <w:r>
        <w:t xml:space="preserve"> (FER) untuk mendeteksi ekspresi wajah dan </w:t>
      </w:r>
      <w:r w:rsidR="003C6CCF">
        <w:t>mengukur</w:t>
      </w:r>
      <w:r>
        <w:t xml:space="preserve"> tingkat keterlibatan emosional </w:t>
      </w:r>
      <w:r w:rsidR="002F1C5F">
        <w:t>praja</w:t>
      </w:r>
      <w:r>
        <w:t xml:space="preserve"> secara </w:t>
      </w:r>
      <w:r w:rsidRPr="00776E70">
        <w:rPr>
          <w:i/>
          <w:iCs/>
        </w:rPr>
        <w:t>real-time</w:t>
      </w:r>
      <w:r>
        <w:t xml:space="preserve"> selama pembelajaran daring. Model </w:t>
      </w:r>
      <w:r>
        <w:lastRenderedPageBreak/>
        <w:t xml:space="preserve">FER berbasis </w:t>
      </w:r>
      <w:r w:rsidRPr="00776E70">
        <w:rPr>
          <w:i/>
          <w:iCs/>
        </w:rPr>
        <w:t>deep learning</w:t>
      </w:r>
      <w:r>
        <w:t xml:space="preserve"> telah digunakan untuk membedakan </w:t>
      </w:r>
      <w:r w:rsidR="002F1C5F">
        <w:t>praja</w:t>
      </w:r>
      <w:r>
        <w:t xml:space="preserve"> yang </w:t>
      </w:r>
      <w:r w:rsidRPr="003C6CCF">
        <w:rPr>
          <w:i/>
          <w:iCs/>
        </w:rPr>
        <w:t>engaged</w:t>
      </w:r>
      <w:r>
        <w:t xml:space="preserve"> dan </w:t>
      </w:r>
      <w:r w:rsidRPr="003C6CCF">
        <w:rPr>
          <w:i/>
          <w:iCs/>
        </w:rPr>
        <w:t>disengaged</w:t>
      </w:r>
      <w:r>
        <w:t xml:space="preserve"> dengan akurasi yang menjanjikan, sehingga berpotensi menjadi sumber data objektif untuk mendukung evaluasi proses belajar dalam lingkungan asinkron</w:t>
      </w:r>
      <w:r w:rsidR="00776E70">
        <w:t xml:space="preserve"> </w:t>
      </w:r>
      <w:r w:rsidR="00776E70">
        <w:fldChar w:fldCharType="begin" w:fldLock="1"/>
      </w:r>
      <w:r w:rsidR="00E67107">
        <w:instrText>ADDIN CSL_CITATION {"citationItems":[{"id":"ITEM-1","itemData":{"DOI":"10.1371/journal.pone.0334232","ISSN":"19326203","PMID":"41124191","abstract":"Student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education.","author":[{"dropping-particle":"","family":"Hu","given":"Xuhui","non-dropping-particle":"","parse-names":false,"suffix":""},{"dropping-particle":"","family":"Gao","given":"Jian","non-dropping-particle":"","parse-names":false,"suffix":""}],"container-title":"Plos One","id":"ITEM-1","issue":"10 October","issued":{"date-parts":[["2025"]]},"page":"1-22","title":"Facial expression recognition reveals students’ engagement in online class: Correlations with six engagement measurements","type":"article-journal","volume":"20"},"uris":["http://www.mendeley.com/documents/?uuid=aefa39bf-2a87-4ebb-8dbe-a4c3c8496392"]}],"mendeley":{"formattedCitation":"(Hu &amp; Gao, 2025)","plainTextFormattedCitation":"(Hu &amp; Gao, 2025)","previouslyFormattedCitation":"(Hu &amp; Gao, 2025)"},"properties":{"noteIndex":0},"schema":"https://github.com/citation-style-language/schema/raw/master/csl-citation.json"}</w:instrText>
      </w:r>
      <w:r w:rsidR="00776E70">
        <w:fldChar w:fldCharType="separate"/>
      </w:r>
      <w:r w:rsidR="00776E70" w:rsidRPr="00776E70">
        <w:rPr>
          <w:noProof/>
        </w:rPr>
        <w:t>(Hu &amp; Gao, 2025)</w:t>
      </w:r>
      <w:r w:rsidR="00776E70">
        <w:fldChar w:fldCharType="end"/>
      </w:r>
      <w:r>
        <w:t>.</w:t>
      </w:r>
    </w:p>
    <w:p w14:paraId="7FAD042F" w14:textId="77777777" w:rsidR="000877D3" w:rsidRPr="00405063" w:rsidRDefault="000877D3" w:rsidP="001A5463">
      <w:pPr>
        <w:pStyle w:val="ListParagraph"/>
        <w:spacing w:before="0"/>
      </w:pPr>
    </w:p>
    <w:p w14:paraId="21C2CAF3" w14:textId="212C9900" w:rsidR="00C81DA1" w:rsidRDefault="00C81DA1" w:rsidP="000877D3">
      <w:pPr>
        <w:pStyle w:val="Heading2"/>
        <w:spacing w:before="0"/>
        <w:rPr>
          <w:lang w:val="en-US"/>
        </w:rPr>
      </w:pPr>
      <w:r>
        <w:rPr>
          <w:lang w:val="en-US"/>
        </w:rPr>
        <w:t>Landasan Hukum</w:t>
      </w:r>
    </w:p>
    <w:p w14:paraId="18405B95" w14:textId="3952E38B" w:rsidR="00776E70" w:rsidRDefault="00776E70" w:rsidP="00E26DE3">
      <w:pPr>
        <w:pStyle w:val="ListParagraph"/>
        <w:numPr>
          <w:ilvl w:val="0"/>
          <w:numId w:val="12"/>
        </w:numPr>
        <w:spacing w:before="0"/>
      </w:pPr>
      <w:r>
        <w:t>UU No. 20 Tahun 2003 tentang Sistem Pendidikan Nasional yang mengamanatkan pemerataan akses dan peningkatan mutu pendidikan, yang dalam konteks kekinian ditafsirkan melalui penggunaan teknologi dan digitalisasi pembelajaran</w:t>
      </w:r>
      <w:r w:rsidR="00A16FD0">
        <w:t>.</w:t>
      </w:r>
    </w:p>
    <w:p w14:paraId="4783F973" w14:textId="0312313E" w:rsidR="00776E70" w:rsidRDefault="00776E70" w:rsidP="00776E70">
      <w:pPr>
        <w:pStyle w:val="ListParagraph"/>
        <w:numPr>
          <w:ilvl w:val="0"/>
          <w:numId w:val="12"/>
        </w:numPr>
      </w:pPr>
      <w:r>
        <w:t xml:space="preserve">UU No. 12 Tahun 2012 Pasal 31 mengatur Pendidikan Jarak Jauh (PJJ) sebagai proses belajar mengajar yang dilakukan secara jarak jauh, yang menjadi dasar legal penggunaan LMS, kuliah </w:t>
      </w:r>
      <w:r w:rsidR="005542BF">
        <w:t>daring</w:t>
      </w:r>
      <w:r>
        <w:t xml:space="preserve">, dan model </w:t>
      </w:r>
      <w:r w:rsidRPr="005542BF">
        <w:rPr>
          <w:i/>
          <w:iCs/>
        </w:rPr>
        <w:t>hybrid</w:t>
      </w:r>
      <w:r>
        <w:t xml:space="preserve"> di perguruan tinggi</w:t>
      </w:r>
      <w:r w:rsidR="00A16FD0">
        <w:t>.</w:t>
      </w:r>
    </w:p>
    <w:p w14:paraId="1CA0508B" w14:textId="1C0E325C" w:rsidR="00776E70" w:rsidRDefault="00776E70" w:rsidP="00776E70">
      <w:pPr>
        <w:pStyle w:val="ListParagraph"/>
        <w:numPr>
          <w:ilvl w:val="0"/>
          <w:numId w:val="12"/>
        </w:numPr>
      </w:pPr>
      <w:r>
        <w:t>Permendikbudristek No. 8 Tahun 2022 tentang Sistem Pemerintahan Berbasis Elektronik (SPBE) Kemendikbudristek yang mengatur penyelenggaraan layanan berbasis elektronik, termasuk layanan pendidikan dan administrasi akademik, sebagai bagian dari digitalisasi sistem pendidikan</w:t>
      </w:r>
      <w:r w:rsidR="00A16FD0">
        <w:t>.</w:t>
      </w:r>
    </w:p>
    <w:p w14:paraId="108059B5" w14:textId="322E9843" w:rsidR="00776E70" w:rsidRDefault="00776E70" w:rsidP="00776E70">
      <w:pPr>
        <w:pStyle w:val="ListParagraph"/>
        <w:numPr>
          <w:ilvl w:val="0"/>
          <w:numId w:val="12"/>
        </w:numPr>
      </w:pPr>
      <w:r>
        <w:t>Permendikbudristek No. 53 Tahun 2023 tentang Penjaminan Mutu Pendidikan Tinggi menggeser fokus ke capaian pembelajaran dan penjaminan mutu berbasis data, sehingga mendorong perguruan tinggi menggunakan sistem digital untuk perencanaan, pelaksanaan, dan evaluasi pembelajaran</w:t>
      </w:r>
      <w:r w:rsidR="00A16FD0">
        <w:t>.</w:t>
      </w:r>
    </w:p>
    <w:p w14:paraId="5174F27D" w14:textId="0C29AC79" w:rsidR="00776E70" w:rsidRDefault="00776E70" w:rsidP="00776E70">
      <w:pPr>
        <w:pStyle w:val="ListParagraph"/>
        <w:numPr>
          <w:ilvl w:val="0"/>
          <w:numId w:val="12"/>
        </w:numPr>
      </w:pPr>
      <w:r>
        <w:t>Peraturan Rektor Institut Pemerintahan Dalam Negeri Nomor 4 Tahun 2025 tentang Rencana Induk Pengembangan (RENIP) Institut Pemerintahan Dalam Negeri 2020 – 2045</w:t>
      </w:r>
      <w:r w:rsidR="00A16FD0">
        <w:t>.</w:t>
      </w:r>
    </w:p>
    <w:p w14:paraId="5D85DAE0" w14:textId="22D56054" w:rsidR="00C81DA1" w:rsidRDefault="00776E70" w:rsidP="00776E70">
      <w:pPr>
        <w:pStyle w:val="ListParagraph"/>
        <w:numPr>
          <w:ilvl w:val="0"/>
          <w:numId w:val="12"/>
        </w:numPr>
        <w:sectPr w:rsidR="00C81DA1" w:rsidSect="00C81DA1">
          <w:pgSz w:w="11906" w:h="16838" w:code="9"/>
          <w:pgMar w:top="1440" w:right="1440" w:bottom="1440" w:left="1440" w:header="720" w:footer="720" w:gutter="0"/>
          <w:cols w:space="720"/>
          <w:docGrid w:linePitch="360"/>
        </w:sectPr>
      </w:pPr>
      <w:r>
        <w:t>Peraturan Rektor Institut Pemerintahan Dalam Negeri Nomor 5 Tahun 2025 tentang Pedoman Akedemik Institut Pemerintahan Dalam Negeri</w:t>
      </w:r>
      <w:r w:rsidR="00294E7C">
        <w:t>.</w:t>
      </w:r>
    </w:p>
    <w:p w14:paraId="5B5115BF" w14:textId="0FFDADB6" w:rsidR="00C81DA1" w:rsidRDefault="00C81DA1" w:rsidP="00C81DA1">
      <w:pPr>
        <w:pStyle w:val="Heading1"/>
      </w:pPr>
      <w:r w:rsidRPr="00C81DA1">
        <w:lastRenderedPageBreak/>
        <w:t>Strategi Pencapaian Keluaran</w:t>
      </w:r>
    </w:p>
    <w:p w14:paraId="11FDE122" w14:textId="53B289CD" w:rsidR="00C81DA1" w:rsidRDefault="00C81DA1" w:rsidP="00026549">
      <w:pPr>
        <w:spacing w:before="0"/>
      </w:pPr>
    </w:p>
    <w:p w14:paraId="035D5D03" w14:textId="7101FF2D" w:rsidR="00C81DA1" w:rsidRDefault="00C81DA1" w:rsidP="00026549">
      <w:pPr>
        <w:pStyle w:val="Heading2"/>
        <w:numPr>
          <w:ilvl w:val="0"/>
          <w:numId w:val="5"/>
        </w:numPr>
        <w:spacing w:before="0"/>
        <w:ind w:left="357" w:hanging="357"/>
        <w:rPr>
          <w:lang w:val="en-US"/>
        </w:rPr>
      </w:pPr>
      <w:r>
        <w:rPr>
          <w:lang w:val="en-US"/>
        </w:rPr>
        <w:t>Metode Pelaksanaan</w:t>
      </w:r>
    </w:p>
    <w:p w14:paraId="438B9E9B" w14:textId="39E355F2" w:rsidR="00471CC2" w:rsidRDefault="00471CC2" w:rsidP="00F2527C">
      <w:pPr>
        <w:spacing w:before="0"/>
      </w:pPr>
      <w:r>
        <w:t>Metode pelaksanaan pekerjaan ini dirancang dengan pendekatan implementatif dan bertahap, dimulai dari perencanaan hingga evaluasi awal sistem pemantauan pembelajaran asinkron berbasis deteksi ekspresi wajah di IPDN Kampus Kalimantan Barat. Setiap tahap disusun untuk memastikan kesiapan teknis, keterterimaan pengguna, serta kesesuaian dengan kebutuhan pembelajaran.</w:t>
      </w:r>
    </w:p>
    <w:p w14:paraId="42B7C97A" w14:textId="77777777" w:rsidR="00471CC2" w:rsidRPr="00820756" w:rsidRDefault="00471CC2" w:rsidP="00471CC2">
      <w:pPr>
        <w:pStyle w:val="ListParagraph"/>
        <w:numPr>
          <w:ilvl w:val="0"/>
          <w:numId w:val="13"/>
        </w:numPr>
      </w:pPr>
      <w:r w:rsidRPr="00820756">
        <w:t>Tahap Perencanaan dan Analisis Kebutuhan</w:t>
      </w:r>
    </w:p>
    <w:p w14:paraId="2D252FC9" w14:textId="77777777" w:rsidR="00471CC2" w:rsidRDefault="00471CC2" w:rsidP="00471CC2">
      <w:pPr>
        <w:pStyle w:val="ListParagraph"/>
        <w:ind w:left="717"/>
      </w:pPr>
      <w:r>
        <w:t>Tahap ini meliputi identifikasi kebutuhan pembelajaran asinkron di IPDN Kampus Kalimantan Barat, pemetaan alur penggunaan LMS, serta penentuan skenario pembelajaran video yang akan dipantau. Pada tahap ini juga dilakukan penentuan spesifikasi sistem, termasuk kebutuhan perangkat keras (</w:t>
      </w:r>
      <w:r w:rsidRPr="00776695">
        <w:rPr>
          <w:i/>
          <w:iCs/>
        </w:rPr>
        <w:t>webcam</w:t>
      </w:r>
      <w:r>
        <w:t xml:space="preserve"> dan komputer/laptop praja) serta perangkat lunak pendukung. Hasil tahap ini berupa dokumen kebutuhan sistem dan skenario implementasi proyek.</w:t>
      </w:r>
    </w:p>
    <w:p w14:paraId="67E7F8A1" w14:textId="77777777" w:rsidR="00471CC2" w:rsidRDefault="00471CC2" w:rsidP="00471CC2">
      <w:pPr>
        <w:pStyle w:val="ListParagraph"/>
        <w:numPr>
          <w:ilvl w:val="0"/>
          <w:numId w:val="13"/>
        </w:numPr>
      </w:pPr>
      <w:r>
        <w:t>Tahap Perancangan Sistem</w:t>
      </w:r>
    </w:p>
    <w:p w14:paraId="64D68FFA" w14:textId="77777777" w:rsidR="00471CC2" w:rsidRDefault="00471CC2" w:rsidP="00471CC2">
      <w:pPr>
        <w:pStyle w:val="ListParagraph"/>
        <w:ind w:left="717"/>
      </w:pPr>
      <w:r>
        <w:t>Pada tahap ini dilakukan perancangan arsitektur sistem pemantauan pembelajaran asinkron yang terintegrasi dengan LMS. Perancangan mencakup alur pengambilan data ekspresi wajah selama praja menyimak video pembelajaran, proses pengolahan data, serta penyajian informasi dalam bentuk ringkasan atau dashboard yang dapat diakses oleh dosen. Tahap ini menghasilkan desain sistem dan alur kerja yang siap diimplementasikan.</w:t>
      </w:r>
    </w:p>
    <w:p w14:paraId="00DAF48F" w14:textId="77777777" w:rsidR="00471CC2" w:rsidRDefault="00471CC2" w:rsidP="00471CC2">
      <w:pPr>
        <w:pStyle w:val="ListParagraph"/>
        <w:numPr>
          <w:ilvl w:val="0"/>
          <w:numId w:val="13"/>
        </w:numPr>
      </w:pPr>
      <w:r>
        <w:t>Tahap Implementasi Sistem</w:t>
      </w:r>
    </w:p>
    <w:p w14:paraId="42AD9759" w14:textId="77777777" w:rsidR="00471CC2" w:rsidRDefault="00471CC2" w:rsidP="00471CC2">
      <w:pPr>
        <w:pStyle w:val="ListParagraph"/>
        <w:ind w:left="717"/>
      </w:pPr>
      <w:r>
        <w:t>Tahap implementasi meliputi pengembangan dan pemasangan sistem deteksi ekspresi wajah berbasis kecerdasan buatan pada lingkungan pembelajaran asinkron. Sistem diaktifkan saat praja mengakses dan menonton video pembelajaran melalui LMS dengan memanfaatkan webcam yang tersedia. Pada tahap ini juga dilakukan konfigurasi pengumpulan data respons afektif praja sesuai dengan ketentuan yang telah ditetapkan.</w:t>
      </w:r>
    </w:p>
    <w:p w14:paraId="451A5E7F" w14:textId="77777777" w:rsidR="00471CC2" w:rsidRDefault="00471CC2" w:rsidP="00471CC2">
      <w:pPr>
        <w:pStyle w:val="ListParagraph"/>
        <w:numPr>
          <w:ilvl w:val="0"/>
          <w:numId w:val="13"/>
        </w:numPr>
      </w:pPr>
      <w:r>
        <w:lastRenderedPageBreak/>
        <w:t xml:space="preserve">Tahap Uji Coba Terbatas </w:t>
      </w:r>
    </w:p>
    <w:p w14:paraId="7A687417" w14:textId="1383DF4E" w:rsidR="00471CC2" w:rsidRDefault="00471CC2" w:rsidP="00471CC2">
      <w:pPr>
        <w:pStyle w:val="ListParagraph"/>
        <w:ind w:left="717"/>
      </w:pPr>
      <w:r>
        <w:t>Sistem yang telah diimplementasikan diuji coba secara terbatas pada beberapa kelas atau mata ajar di IPDN Kampus Kalimantan Barat. Uji coba bertujuan untuk memastikan sistem berjalan sesuai rancangan, mengidentifikasi kendala teknis, serta mengamati keterterimaan pengguna (dosen dan praja). Data hasil uji coba digunakan untuk melakukan penyesuaian awal terhadap sistem.</w:t>
      </w:r>
    </w:p>
    <w:p w14:paraId="7DB9B450" w14:textId="77777777" w:rsidR="00471CC2" w:rsidRDefault="00471CC2" w:rsidP="00471CC2">
      <w:pPr>
        <w:pStyle w:val="ListParagraph"/>
        <w:numPr>
          <w:ilvl w:val="0"/>
          <w:numId w:val="13"/>
        </w:numPr>
      </w:pPr>
      <w:r>
        <w:t>Tahap Evaluasi Awal dan Penyempurnaan</w:t>
      </w:r>
    </w:p>
    <w:p w14:paraId="5708D201" w14:textId="27FC793B" w:rsidR="00820756" w:rsidRDefault="00471CC2" w:rsidP="00820756">
      <w:pPr>
        <w:pStyle w:val="ListParagraph"/>
        <w:ind w:left="717"/>
      </w:pPr>
      <w:r>
        <w:t>Pada tahap ini dilakukan evaluasi awal terhadap hasil implementasi sistem, khususnya terkait fungsi sistem dalam menyediakan data dukung keterlibatan praja dan kemudahan penggunaannya oleh dosen. Evaluasi digunakan sebagai dasar penyempurnaan sistem dan penyusunan rekomendasi pengembangan lebih lanjut, termasuk kemungkinan replikasi di lingkungan IPDN yang lebih luas.</w:t>
      </w:r>
    </w:p>
    <w:p w14:paraId="1BC38E86" w14:textId="77777777" w:rsidR="001A5463" w:rsidRPr="00471CC2" w:rsidRDefault="001A5463" w:rsidP="001A5463">
      <w:pPr>
        <w:pStyle w:val="ListParagraph"/>
        <w:spacing w:before="0"/>
        <w:ind w:left="717"/>
        <w:jc w:val="left"/>
      </w:pPr>
    </w:p>
    <w:p w14:paraId="0F04218D" w14:textId="6C642D69" w:rsidR="00C81DA1" w:rsidRDefault="00C81DA1" w:rsidP="001A5463">
      <w:pPr>
        <w:pStyle w:val="Heading2"/>
        <w:spacing w:before="0"/>
        <w:rPr>
          <w:lang w:val="en-US"/>
        </w:rPr>
      </w:pPr>
      <w:r>
        <w:rPr>
          <w:lang w:val="en-US"/>
        </w:rPr>
        <w:t>Penerima Manfaat</w:t>
      </w:r>
    </w:p>
    <w:p w14:paraId="7106B6EF" w14:textId="77777777" w:rsidR="00820756" w:rsidRDefault="00820756" w:rsidP="00F2527C">
      <w:pPr>
        <w:pStyle w:val="ListParagraph"/>
        <w:numPr>
          <w:ilvl w:val="0"/>
          <w:numId w:val="14"/>
        </w:numPr>
        <w:spacing w:before="0"/>
      </w:pPr>
      <w:r>
        <w:t>Praja IPDN Kampus Kalimantan Barat</w:t>
      </w:r>
    </w:p>
    <w:p w14:paraId="4B8B63F0" w14:textId="77777777" w:rsidR="00820756" w:rsidRDefault="00820756" w:rsidP="00820756">
      <w:pPr>
        <w:pStyle w:val="ListParagraph"/>
      </w:pPr>
      <w:r>
        <w:t>Praja memperoleh pengalaman pembelajaran asinkron yang lebih terpantau dan terstruktur, serta mendapatkan perlakuan evaluasi yang lebih objektif dan berkeadilan karena proses belajar turut diperhatikan, bukan hanya hasil akhir pembelajaran.</w:t>
      </w:r>
    </w:p>
    <w:p w14:paraId="6AA4959E" w14:textId="77777777" w:rsidR="00820756" w:rsidRDefault="00820756" w:rsidP="00820756">
      <w:pPr>
        <w:pStyle w:val="ListParagraph"/>
        <w:numPr>
          <w:ilvl w:val="0"/>
          <w:numId w:val="14"/>
        </w:numPr>
      </w:pPr>
      <w:r>
        <w:t>Dosen Pengampu Mata Ajar</w:t>
      </w:r>
    </w:p>
    <w:p w14:paraId="2FFFE3D3" w14:textId="470CCC8A" w:rsidR="00820756" w:rsidRDefault="00820756" w:rsidP="00820756">
      <w:pPr>
        <w:pStyle w:val="ListParagraph"/>
      </w:pPr>
      <w:r>
        <w:t>Dosen memperoleh data dukung mengenai keterlibatan praja selama pembelajaran asinkron yang dapat dimanfaatkan sebagai bahan pertimbangan dalam evaluasi pembelajaran, perbaikan desain materi, serta penyusunan strategi pembelajaran yang lebih tepat sasaran.</w:t>
      </w:r>
    </w:p>
    <w:p w14:paraId="12838D07" w14:textId="77777777" w:rsidR="00820756" w:rsidRDefault="00820756" w:rsidP="00820756">
      <w:pPr>
        <w:pStyle w:val="ListParagraph"/>
        <w:numPr>
          <w:ilvl w:val="0"/>
          <w:numId w:val="14"/>
        </w:numPr>
      </w:pPr>
      <w:r>
        <w:t>Pengelola Akademik IPDN Kampus Kalimantan Barat</w:t>
      </w:r>
    </w:p>
    <w:p w14:paraId="1632D316" w14:textId="77777777" w:rsidR="00820756" w:rsidRDefault="00820756" w:rsidP="00820756">
      <w:pPr>
        <w:pStyle w:val="ListParagraph"/>
      </w:pPr>
      <w:r>
        <w:t>Pengelola akademik memperoleh gambaran implementasi digitalisasi pembelajaran berbasis data sebagai dasar pengambilan keputusan terkait pengembangan sistem pembelajaran daring dan peningkatan mutu pembelajaran di tingkat kampus.</w:t>
      </w:r>
    </w:p>
    <w:p w14:paraId="7729CE73" w14:textId="54FD0D02" w:rsidR="00820756" w:rsidRDefault="00820756" w:rsidP="00820756">
      <w:pPr>
        <w:pStyle w:val="ListParagraph"/>
        <w:numPr>
          <w:ilvl w:val="0"/>
          <w:numId w:val="14"/>
        </w:numPr>
      </w:pPr>
      <w:r>
        <w:t>Institut Pemerintahan Dalam Negeri</w:t>
      </w:r>
    </w:p>
    <w:p w14:paraId="4B5886BC" w14:textId="16FAB33A" w:rsidR="00E04F4D" w:rsidRDefault="00820756" w:rsidP="006E42B2">
      <w:pPr>
        <w:pStyle w:val="ListParagraph"/>
        <w:spacing w:before="0"/>
      </w:pPr>
      <w:r>
        <w:lastRenderedPageBreak/>
        <w:t xml:space="preserve">IPDN memperoleh model implementasi awal pemantauan pembelajaran asinkron berbasis teknologi kecerdasan buatan yang dapat dijadikan referensi dan </w:t>
      </w:r>
      <w:r w:rsidRPr="00E04F4D">
        <w:rPr>
          <w:i/>
          <w:iCs/>
        </w:rPr>
        <w:t>role</w:t>
      </w:r>
      <w:r>
        <w:t xml:space="preserve"> model pengembangan digitalisasi pembelajaran pada kampus-kampus IPDN lainnya.</w:t>
      </w:r>
    </w:p>
    <w:p w14:paraId="2ABA8147" w14:textId="77777777" w:rsidR="006E42B2" w:rsidRPr="00820756" w:rsidRDefault="006E42B2" w:rsidP="006E42B2">
      <w:pPr>
        <w:pStyle w:val="ListParagraph"/>
        <w:spacing w:before="0"/>
      </w:pPr>
    </w:p>
    <w:p w14:paraId="6BCFCA41" w14:textId="6B14B80A" w:rsidR="00C81DA1" w:rsidRDefault="00C81DA1" w:rsidP="00F2527C">
      <w:pPr>
        <w:pStyle w:val="Heading2"/>
        <w:spacing w:before="0"/>
        <w:rPr>
          <w:lang w:val="en-US"/>
        </w:rPr>
      </w:pPr>
      <w:r>
        <w:rPr>
          <w:lang w:val="en-US"/>
        </w:rPr>
        <w:t>Waktu dan Tempat Pelaksanaan</w:t>
      </w:r>
    </w:p>
    <w:p w14:paraId="1DAE0EB4" w14:textId="2B7B4A17" w:rsidR="002F1DBF" w:rsidRDefault="002F1C5F" w:rsidP="006E42B2">
      <w:pPr>
        <w:spacing w:before="0"/>
      </w:pPr>
      <w:r>
        <w:t>Proyek</w:t>
      </w:r>
      <w:r w:rsidR="00E13E1F" w:rsidRPr="00E13E1F">
        <w:t xml:space="preserve"> ini direncanakan dilaksanakan selama </w:t>
      </w:r>
      <w:r w:rsidR="00E13E1F">
        <w:t>3</w:t>
      </w:r>
      <w:r w:rsidR="00E13E1F" w:rsidRPr="00E13E1F">
        <w:t xml:space="preserve"> bulan, terhitung sejak bulan</w:t>
      </w:r>
      <w:r w:rsidR="00E13E1F">
        <w:t xml:space="preserve"> Februari</w:t>
      </w:r>
      <w:r w:rsidR="00E13E1F" w:rsidRPr="00E13E1F">
        <w:t xml:space="preserve"> hingga bulan</w:t>
      </w:r>
      <w:r w:rsidR="00E13E1F">
        <w:t xml:space="preserve"> April</w:t>
      </w:r>
      <w:r w:rsidR="00E13E1F" w:rsidRPr="00E13E1F">
        <w:t xml:space="preserve"> tahun</w:t>
      </w:r>
      <w:r w:rsidR="00E13E1F">
        <w:t xml:space="preserve"> 2026</w:t>
      </w:r>
      <w:r w:rsidR="00E13E1F" w:rsidRPr="00E13E1F">
        <w:t xml:space="preserve">, mencakup seluruh tahapan kegiatan mulai dari perencanaan dan analisis kebutuhan, perancangan serta implementasi sistem, uji coba terbatas, sampai dengan evaluasi awal dan penyempurnaan. Adapun lokasi pelaksanaan proyek berpusat di Institut Pemerintahan Dalam Negeri (IPDN) Kampus Kalimantan Barat, dengan fokus pada pemanfaatan </w:t>
      </w:r>
      <w:r w:rsidR="00E13E1F" w:rsidRPr="00E13E1F">
        <w:rPr>
          <w:i/>
          <w:iCs/>
        </w:rPr>
        <w:t xml:space="preserve">Learning Management System </w:t>
      </w:r>
      <w:r w:rsidR="00E13E1F" w:rsidRPr="00E13E1F">
        <w:t>(LMS) dalam pembelajaran asinkron yang digunakan oleh dosen dan praja pada kampus tersebut.</w:t>
      </w:r>
    </w:p>
    <w:p w14:paraId="2154FB6D" w14:textId="77777777" w:rsidR="006E42B2" w:rsidRPr="00E13E1F" w:rsidRDefault="006E42B2" w:rsidP="006E42B2">
      <w:pPr>
        <w:spacing w:before="0"/>
      </w:pPr>
    </w:p>
    <w:p w14:paraId="218CE5D6" w14:textId="702633A8" w:rsidR="00C81DA1" w:rsidRDefault="00C81DA1" w:rsidP="006E42B2">
      <w:pPr>
        <w:pStyle w:val="Heading2"/>
        <w:spacing w:before="0"/>
        <w:rPr>
          <w:lang w:val="en-US"/>
        </w:rPr>
      </w:pPr>
      <w:r w:rsidRPr="002F1DBF">
        <w:rPr>
          <w:i/>
          <w:iCs/>
          <w:lang w:val="en-US"/>
        </w:rPr>
        <w:t>Timeline</w:t>
      </w:r>
      <w:r>
        <w:rPr>
          <w:lang w:val="en-US"/>
        </w:rPr>
        <w:t xml:space="preserve"> Project</w:t>
      </w:r>
    </w:p>
    <w:tbl>
      <w:tblPr>
        <w:tblW w:w="8646" w:type="dxa"/>
        <w:tblInd w:w="416" w:type="dxa"/>
        <w:tblLook w:val="04A0" w:firstRow="1" w:lastRow="0" w:firstColumn="1" w:lastColumn="0" w:noHBand="0" w:noVBand="1"/>
      </w:tblPr>
      <w:tblGrid>
        <w:gridCol w:w="516"/>
        <w:gridCol w:w="4870"/>
        <w:gridCol w:w="1180"/>
        <w:gridCol w:w="1088"/>
        <w:gridCol w:w="992"/>
      </w:tblGrid>
      <w:tr w:rsidR="002F1DBF" w:rsidRPr="002F1DBF" w14:paraId="7B3757B4" w14:textId="77777777" w:rsidTr="002F1DBF">
        <w:trPr>
          <w:trHeight w:val="300"/>
        </w:trPr>
        <w:tc>
          <w:tcPr>
            <w:tcW w:w="51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31301E2"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No</w:t>
            </w:r>
          </w:p>
        </w:tc>
        <w:tc>
          <w:tcPr>
            <w:tcW w:w="4870" w:type="dxa"/>
            <w:tcBorders>
              <w:top w:val="single" w:sz="8" w:space="0" w:color="auto"/>
              <w:left w:val="nil"/>
              <w:bottom w:val="single" w:sz="8" w:space="0" w:color="auto"/>
              <w:right w:val="single" w:sz="8" w:space="0" w:color="auto"/>
            </w:tcBorders>
            <w:shd w:val="clear" w:color="auto" w:fill="auto"/>
            <w:vAlign w:val="center"/>
            <w:hideMark/>
          </w:tcPr>
          <w:p w14:paraId="3B3C2F64"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Kegiatan</w:t>
            </w:r>
          </w:p>
        </w:tc>
        <w:tc>
          <w:tcPr>
            <w:tcW w:w="1180" w:type="dxa"/>
            <w:tcBorders>
              <w:top w:val="single" w:sz="8" w:space="0" w:color="auto"/>
              <w:left w:val="nil"/>
              <w:bottom w:val="single" w:sz="8" w:space="0" w:color="auto"/>
              <w:right w:val="single" w:sz="8" w:space="0" w:color="auto"/>
            </w:tcBorders>
            <w:shd w:val="clear" w:color="auto" w:fill="auto"/>
            <w:vAlign w:val="center"/>
            <w:hideMark/>
          </w:tcPr>
          <w:p w14:paraId="0EF2E59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Februari</w:t>
            </w:r>
          </w:p>
        </w:tc>
        <w:tc>
          <w:tcPr>
            <w:tcW w:w="1088" w:type="dxa"/>
            <w:tcBorders>
              <w:top w:val="single" w:sz="8" w:space="0" w:color="auto"/>
              <w:left w:val="nil"/>
              <w:bottom w:val="single" w:sz="8" w:space="0" w:color="auto"/>
              <w:right w:val="single" w:sz="8" w:space="0" w:color="auto"/>
            </w:tcBorders>
            <w:shd w:val="clear" w:color="auto" w:fill="auto"/>
            <w:vAlign w:val="center"/>
            <w:hideMark/>
          </w:tcPr>
          <w:p w14:paraId="175DEE81"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Maret</w:t>
            </w:r>
          </w:p>
        </w:tc>
        <w:tc>
          <w:tcPr>
            <w:tcW w:w="992" w:type="dxa"/>
            <w:tcBorders>
              <w:top w:val="single" w:sz="8" w:space="0" w:color="auto"/>
              <w:left w:val="nil"/>
              <w:bottom w:val="single" w:sz="8" w:space="0" w:color="auto"/>
              <w:right w:val="single" w:sz="8" w:space="0" w:color="auto"/>
            </w:tcBorders>
            <w:shd w:val="clear" w:color="auto" w:fill="auto"/>
            <w:vAlign w:val="center"/>
            <w:hideMark/>
          </w:tcPr>
          <w:p w14:paraId="099383E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April</w:t>
            </w:r>
          </w:p>
        </w:tc>
      </w:tr>
      <w:tr w:rsidR="002F1DBF" w:rsidRPr="002F1DBF" w14:paraId="7AAF3738"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152C9618"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1</w:t>
            </w:r>
          </w:p>
        </w:tc>
        <w:tc>
          <w:tcPr>
            <w:tcW w:w="4870" w:type="dxa"/>
            <w:tcBorders>
              <w:top w:val="nil"/>
              <w:left w:val="nil"/>
              <w:bottom w:val="single" w:sz="4" w:space="0" w:color="auto"/>
              <w:right w:val="single" w:sz="4" w:space="0" w:color="auto"/>
            </w:tcBorders>
            <w:shd w:val="clear" w:color="auto" w:fill="auto"/>
            <w:vAlign w:val="center"/>
            <w:hideMark/>
          </w:tcPr>
          <w:p w14:paraId="6A86DA6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Perencanaan dan Analisis Kebutuhan</w:t>
            </w:r>
          </w:p>
        </w:tc>
        <w:tc>
          <w:tcPr>
            <w:tcW w:w="1180" w:type="dxa"/>
            <w:tcBorders>
              <w:top w:val="nil"/>
              <w:left w:val="nil"/>
              <w:bottom w:val="single" w:sz="4" w:space="0" w:color="auto"/>
              <w:right w:val="single" w:sz="4" w:space="0" w:color="auto"/>
            </w:tcBorders>
            <w:shd w:val="clear" w:color="000000" w:fill="FFFF00"/>
            <w:vAlign w:val="center"/>
            <w:hideMark/>
          </w:tcPr>
          <w:p w14:paraId="527495E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5DA79083"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005FEA61"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77E4F84"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2EE65116"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2</w:t>
            </w:r>
          </w:p>
        </w:tc>
        <w:tc>
          <w:tcPr>
            <w:tcW w:w="4870" w:type="dxa"/>
            <w:tcBorders>
              <w:top w:val="nil"/>
              <w:left w:val="nil"/>
              <w:bottom w:val="single" w:sz="4" w:space="0" w:color="auto"/>
              <w:right w:val="single" w:sz="4" w:space="0" w:color="auto"/>
            </w:tcBorders>
            <w:shd w:val="clear" w:color="auto" w:fill="auto"/>
            <w:vAlign w:val="center"/>
            <w:hideMark/>
          </w:tcPr>
          <w:p w14:paraId="54C196E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Perancangan Sistem</w:t>
            </w:r>
          </w:p>
        </w:tc>
        <w:tc>
          <w:tcPr>
            <w:tcW w:w="1180" w:type="dxa"/>
            <w:tcBorders>
              <w:top w:val="nil"/>
              <w:left w:val="nil"/>
              <w:bottom w:val="single" w:sz="4" w:space="0" w:color="auto"/>
              <w:right w:val="single" w:sz="4" w:space="0" w:color="auto"/>
            </w:tcBorders>
            <w:shd w:val="clear" w:color="auto" w:fill="auto"/>
            <w:vAlign w:val="center"/>
            <w:hideMark/>
          </w:tcPr>
          <w:p w14:paraId="21C6001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43FD6D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6C536CB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D1BBC70"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23BD6D39"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3</w:t>
            </w:r>
          </w:p>
        </w:tc>
        <w:tc>
          <w:tcPr>
            <w:tcW w:w="4870" w:type="dxa"/>
            <w:tcBorders>
              <w:top w:val="nil"/>
              <w:left w:val="nil"/>
              <w:bottom w:val="single" w:sz="4" w:space="0" w:color="auto"/>
              <w:right w:val="single" w:sz="4" w:space="0" w:color="auto"/>
            </w:tcBorders>
            <w:shd w:val="clear" w:color="auto" w:fill="auto"/>
            <w:vAlign w:val="center"/>
            <w:hideMark/>
          </w:tcPr>
          <w:p w14:paraId="3513D74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Implementasi Sistem</w:t>
            </w:r>
          </w:p>
        </w:tc>
        <w:tc>
          <w:tcPr>
            <w:tcW w:w="1180" w:type="dxa"/>
            <w:tcBorders>
              <w:top w:val="nil"/>
              <w:left w:val="nil"/>
              <w:bottom w:val="single" w:sz="4" w:space="0" w:color="auto"/>
              <w:right w:val="single" w:sz="4" w:space="0" w:color="auto"/>
            </w:tcBorders>
            <w:shd w:val="clear" w:color="auto" w:fill="auto"/>
            <w:vAlign w:val="center"/>
            <w:hideMark/>
          </w:tcPr>
          <w:p w14:paraId="5535D79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0D9D9DA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72B677B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7B23831E"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0C18F26D"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4</w:t>
            </w:r>
          </w:p>
        </w:tc>
        <w:tc>
          <w:tcPr>
            <w:tcW w:w="4870" w:type="dxa"/>
            <w:tcBorders>
              <w:top w:val="nil"/>
              <w:left w:val="nil"/>
              <w:bottom w:val="single" w:sz="4" w:space="0" w:color="auto"/>
              <w:right w:val="single" w:sz="4" w:space="0" w:color="auto"/>
            </w:tcBorders>
            <w:shd w:val="clear" w:color="auto" w:fill="auto"/>
            <w:vAlign w:val="center"/>
            <w:hideMark/>
          </w:tcPr>
          <w:p w14:paraId="3418FBF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Pengujian Awal Sistem</w:t>
            </w:r>
          </w:p>
        </w:tc>
        <w:tc>
          <w:tcPr>
            <w:tcW w:w="1180" w:type="dxa"/>
            <w:tcBorders>
              <w:top w:val="nil"/>
              <w:left w:val="nil"/>
              <w:bottom w:val="single" w:sz="4" w:space="0" w:color="auto"/>
              <w:right w:val="single" w:sz="4" w:space="0" w:color="auto"/>
            </w:tcBorders>
            <w:shd w:val="clear" w:color="auto" w:fill="auto"/>
            <w:vAlign w:val="center"/>
            <w:hideMark/>
          </w:tcPr>
          <w:p w14:paraId="3D88022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25C8A6C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1DB31B1A"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1613DBC"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1C6A0B77"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5</w:t>
            </w:r>
          </w:p>
        </w:tc>
        <w:tc>
          <w:tcPr>
            <w:tcW w:w="4870" w:type="dxa"/>
            <w:tcBorders>
              <w:top w:val="nil"/>
              <w:left w:val="nil"/>
              <w:bottom w:val="single" w:sz="4" w:space="0" w:color="auto"/>
              <w:right w:val="single" w:sz="4" w:space="0" w:color="auto"/>
            </w:tcBorders>
            <w:shd w:val="clear" w:color="auto" w:fill="auto"/>
            <w:vAlign w:val="center"/>
            <w:hideMark/>
          </w:tcPr>
          <w:p w14:paraId="2B46878F" w14:textId="16D1F096"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Uji Coba Terbatas</w:t>
            </w:r>
          </w:p>
        </w:tc>
        <w:tc>
          <w:tcPr>
            <w:tcW w:w="1180" w:type="dxa"/>
            <w:tcBorders>
              <w:top w:val="nil"/>
              <w:left w:val="nil"/>
              <w:bottom w:val="single" w:sz="4" w:space="0" w:color="auto"/>
              <w:right w:val="single" w:sz="4" w:space="0" w:color="auto"/>
            </w:tcBorders>
            <w:shd w:val="clear" w:color="auto" w:fill="auto"/>
            <w:vAlign w:val="center"/>
            <w:hideMark/>
          </w:tcPr>
          <w:p w14:paraId="4BCB3CA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4EE3E7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1829A9B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402C4B8"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5A89FDC2"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6</w:t>
            </w:r>
          </w:p>
        </w:tc>
        <w:tc>
          <w:tcPr>
            <w:tcW w:w="4870" w:type="dxa"/>
            <w:tcBorders>
              <w:top w:val="nil"/>
              <w:left w:val="nil"/>
              <w:bottom w:val="single" w:sz="4" w:space="0" w:color="auto"/>
              <w:right w:val="single" w:sz="4" w:space="0" w:color="auto"/>
            </w:tcBorders>
            <w:shd w:val="clear" w:color="auto" w:fill="auto"/>
            <w:vAlign w:val="center"/>
            <w:hideMark/>
          </w:tcPr>
          <w:p w14:paraId="7AD8D89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Evaluasi Awal dan Penyempurnaan Sistem</w:t>
            </w:r>
          </w:p>
        </w:tc>
        <w:tc>
          <w:tcPr>
            <w:tcW w:w="1180" w:type="dxa"/>
            <w:tcBorders>
              <w:top w:val="nil"/>
              <w:left w:val="nil"/>
              <w:bottom w:val="single" w:sz="4" w:space="0" w:color="auto"/>
              <w:right w:val="single" w:sz="4" w:space="0" w:color="auto"/>
            </w:tcBorders>
            <w:shd w:val="clear" w:color="auto" w:fill="auto"/>
            <w:vAlign w:val="center"/>
            <w:hideMark/>
          </w:tcPr>
          <w:p w14:paraId="6BFAD06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101A09D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1F736EB"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480CBA9C"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4941772C"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7</w:t>
            </w:r>
          </w:p>
        </w:tc>
        <w:tc>
          <w:tcPr>
            <w:tcW w:w="4870" w:type="dxa"/>
            <w:tcBorders>
              <w:top w:val="nil"/>
              <w:left w:val="nil"/>
              <w:bottom w:val="single" w:sz="4" w:space="0" w:color="auto"/>
              <w:right w:val="single" w:sz="4" w:space="0" w:color="auto"/>
            </w:tcBorders>
            <w:shd w:val="clear" w:color="auto" w:fill="auto"/>
            <w:vAlign w:val="center"/>
            <w:hideMark/>
          </w:tcPr>
          <w:p w14:paraId="6F85B2E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Penyusunan Rekomendasi dan Laporan Proyek</w:t>
            </w:r>
          </w:p>
        </w:tc>
        <w:tc>
          <w:tcPr>
            <w:tcW w:w="1180" w:type="dxa"/>
            <w:tcBorders>
              <w:top w:val="nil"/>
              <w:left w:val="nil"/>
              <w:bottom w:val="single" w:sz="4" w:space="0" w:color="auto"/>
              <w:right w:val="single" w:sz="4" w:space="0" w:color="auto"/>
            </w:tcBorders>
            <w:shd w:val="clear" w:color="auto" w:fill="auto"/>
            <w:vAlign w:val="center"/>
            <w:hideMark/>
          </w:tcPr>
          <w:p w14:paraId="772CC1D9"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0B1586C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3DFB41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bl>
    <w:p w14:paraId="0498A374" w14:textId="77777777" w:rsidR="002F1DBF" w:rsidRPr="002F1DBF" w:rsidRDefault="002F1DBF" w:rsidP="00F2527C">
      <w:pPr>
        <w:spacing w:before="0"/>
        <w:ind w:left="0"/>
      </w:pPr>
    </w:p>
    <w:p w14:paraId="5DB16181" w14:textId="5A02CE13" w:rsidR="00C81DA1" w:rsidRDefault="00C81DA1" w:rsidP="008632B6">
      <w:pPr>
        <w:pStyle w:val="Heading2"/>
        <w:spacing w:before="0"/>
        <w:rPr>
          <w:lang w:val="en-US"/>
        </w:rPr>
      </w:pPr>
      <w:r>
        <w:rPr>
          <w:lang w:val="en-US"/>
        </w:rPr>
        <w:t>Biaya yang Diperlukan (RAB)</w:t>
      </w:r>
    </w:p>
    <w:p w14:paraId="38A8A451" w14:textId="108D3377" w:rsidR="00C070C7" w:rsidRDefault="00C070C7" w:rsidP="006308D0">
      <w:pPr>
        <w:spacing w:before="0"/>
      </w:pPr>
      <w:r>
        <w:t>Kegiatan ini tidak memerlukan anggaran tambahan karena semua infrastruktur yang diperlukan sudah tersedia di IPDN Kampus Kalimantan Barat.</w:t>
      </w:r>
    </w:p>
    <w:p w14:paraId="13FC1986" w14:textId="77777777" w:rsidR="008632B6" w:rsidRPr="00C070C7" w:rsidRDefault="008632B6" w:rsidP="006308D0">
      <w:pPr>
        <w:spacing w:before="0"/>
      </w:pPr>
    </w:p>
    <w:p w14:paraId="34CBE9A6" w14:textId="4AA182AE" w:rsidR="00C81DA1" w:rsidRDefault="00C81DA1" w:rsidP="008632B6">
      <w:pPr>
        <w:pStyle w:val="Heading2"/>
        <w:spacing w:before="0"/>
        <w:rPr>
          <w:lang w:val="en-US"/>
        </w:rPr>
      </w:pPr>
      <w:r>
        <w:rPr>
          <w:lang w:val="en-US"/>
        </w:rPr>
        <w:t>Sumber Pendanaan</w:t>
      </w:r>
    </w:p>
    <w:p w14:paraId="311F2F98" w14:textId="7F9E5F17" w:rsidR="00C070C7" w:rsidRPr="00C070C7" w:rsidRDefault="00C070C7" w:rsidP="006308D0">
      <w:pPr>
        <w:spacing w:before="0"/>
      </w:pPr>
      <w:r>
        <w:t>DIPA IPDN Kampus Kalimantan Barat</w:t>
      </w:r>
      <w:r w:rsidR="006308D0">
        <w:t>.</w:t>
      </w:r>
    </w:p>
    <w:p w14:paraId="5FC5BCB3" w14:textId="63897129" w:rsidR="00C81DA1" w:rsidRDefault="00C81DA1" w:rsidP="00C81DA1">
      <w:pPr>
        <w:pStyle w:val="Heading2"/>
        <w:rPr>
          <w:lang w:val="en-US"/>
        </w:rPr>
      </w:pPr>
      <w:r>
        <w:rPr>
          <w:lang w:val="en-US"/>
        </w:rPr>
        <w:lastRenderedPageBreak/>
        <w:t>Penanggung Jawab Kegiatan</w:t>
      </w:r>
    </w:p>
    <w:p w14:paraId="08995B91" w14:textId="5554F93C" w:rsidR="00E67107" w:rsidRDefault="00C070C7" w:rsidP="00E67107">
      <w:pPr>
        <w:spacing w:before="0"/>
      </w:pPr>
      <w:r>
        <w:t>Penanggung jawab kegiatan ini adalah Kepala Bagian Administrasi Umum dan Sistem Informasi IPDN Kampus Kalimantan Barat.</w:t>
      </w:r>
    </w:p>
    <w:p w14:paraId="37EA5434" w14:textId="77777777" w:rsidR="00E67107" w:rsidRDefault="00E67107" w:rsidP="00E67107">
      <w:pPr>
        <w:spacing w:before="0"/>
      </w:pPr>
    </w:p>
    <w:p w14:paraId="70CDAF58" w14:textId="107D7DB9" w:rsidR="00E67107" w:rsidRDefault="00E67107" w:rsidP="00E67107">
      <w:pPr>
        <w:pStyle w:val="Heading2"/>
        <w:spacing w:before="0"/>
      </w:pPr>
      <w:r>
        <w:rPr>
          <w:lang w:val="en-US"/>
        </w:rPr>
        <w:t>Referensi</w:t>
      </w:r>
    </w:p>
    <w:p w14:paraId="79824AA8" w14:textId="58969E07" w:rsidR="00E67107" w:rsidRPr="00E67107" w:rsidRDefault="00E67107" w:rsidP="00E67107">
      <w:pPr>
        <w:pStyle w:val="Referensi"/>
      </w:pPr>
      <w:r>
        <w:fldChar w:fldCharType="begin" w:fldLock="1"/>
      </w:r>
      <w:r>
        <w:instrText xml:space="preserve">ADDIN Mendeley Bibliography CSL_BIBLIOGRAPHY </w:instrText>
      </w:r>
      <w:r>
        <w:fldChar w:fldCharType="separate"/>
      </w:r>
      <w:r w:rsidRPr="00E67107">
        <w:t xml:space="preserve">Drajati, N. A., Rochsantiningsih, D., Martono, M., Cahyaningrum, D., PH, E. I., &amp; Tyarakanita, A. (2024). Unveiling Engagement in Asynchronous Writing: A Comprehensive Exploration of Approaches and Indicators – A Systematic Literature Review. </w:t>
      </w:r>
      <w:r w:rsidRPr="00E67107">
        <w:rPr>
          <w:i/>
          <w:iCs/>
        </w:rPr>
        <w:t>AL-ISHLAH: Jurnal Pendidikan</w:t>
      </w:r>
      <w:r w:rsidRPr="00E67107">
        <w:t xml:space="preserve">, </w:t>
      </w:r>
      <w:r w:rsidRPr="00E67107">
        <w:rPr>
          <w:i/>
          <w:iCs/>
        </w:rPr>
        <w:t>16</w:t>
      </w:r>
      <w:r w:rsidRPr="00E67107">
        <w:t>(1), 27–42. https://doi.org/10.35445/alishlah.v16i1.4579</w:t>
      </w:r>
    </w:p>
    <w:p w14:paraId="1676F769" w14:textId="77777777" w:rsidR="00E67107" w:rsidRPr="00E67107" w:rsidRDefault="00E67107" w:rsidP="00E67107">
      <w:pPr>
        <w:pStyle w:val="Referensi"/>
      </w:pPr>
      <w:r w:rsidRPr="00E67107">
        <w:t xml:space="preserve">Hu, X., &amp; Gao, J. (2025). Facial expression recognition reveals students’ engagement in online class: Correlations with six engagement measurements. </w:t>
      </w:r>
      <w:r w:rsidRPr="00E67107">
        <w:rPr>
          <w:i/>
          <w:iCs/>
        </w:rPr>
        <w:t>Plos One</w:t>
      </w:r>
      <w:r w:rsidRPr="00E67107">
        <w:t xml:space="preserve">, </w:t>
      </w:r>
      <w:r w:rsidRPr="00E67107">
        <w:rPr>
          <w:i/>
          <w:iCs/>
        </w:rPr>
        <w:t>20</w:t>
      </w:r>
      <w:r w:rsidRPr="00E67107">
        <w:t>(10 October), 1–22. https://doi.org/10.1371/journal.pone.0334232</w:t>
      </w:r>
    </w:p>
    <w:p w14:paraId="6CFE2BAB" w14:textId="77777777" w:rsidR="00E67107" w:rsidRPr="00E67107" w:rsidRDefault="00E67107" w:rsidP="00E67107">
      <w:pPr>
        <w:pStyle w:val="Referensi"/>
      </w:pPr>
      <w:r w:rsidRPr="00E67107">
        <w:t xml:space="preserve">Hung, C. T., Wu, S. E., Chen, Y. H., Soong, C. Y., Chiang, C., &amp; Wang, W. (2024). The evaluation of synchronous and asynchronous online learning: student experience, learning outcomes, and cognitive load. </w:t>
      </w:r>
      <w:r w:rsidRPr="00E67107">
        <w:rPr>
          <w:i/>
          <w:iCs/>
        </w:rPr>
        <w:t>BMC Medical Education</w:t>
      </w:r>
      <w:r w:rsidRPr="00E67107">
        <w:t xml:space="preserve">, </w:t>
      </w:r>
      <w:r w:rsidRPr="00E67107">
        <w:rPr>
          <w:i/>
          <w:iCs/>
        </w:rPr>
        <w:t>24</w:t>
      </w:r>
      <w:r w:rsidRPr="00E67107">
        <w:t>(1), 1–8. https://doi.org/10.1186/s12909-024-05311-7</w:t>
      </w:r>
    </w:p>
    <w:p w14:paraId="6DDE259F" w14:textId="77777777" w:rsidR="00E67107" w:rsidRPr="00E67107" w:rsidRDefault="00E67107" w:rsidP="00E67107">
      <w:pPr>
        <w:pStyle w:val="Referensi"/>
      </w:pPr>
      <w:r w:rsidRPr="00E67107">
        <w:t xml:space="preserve">Joshi, D. R., Adhikari, K. P., Khanal, B., Khadka, J., &amp; Belbase, S. (2022). Behavioral, cognitive, emotional and social engagement in mathematics learning during COVID-19 pandemic. </w:t>
      </w:r>
      <w:r w:rsidRPr="00E67107">
        <w:rPr>
          <w:i/>
          <w:iCs/>
        </w:rPr>
        <w:t>PLoS ONE</w:t>
      </w:r>
      <w:r w:rsidRPr="00E67107">
        <w:t xml:space="preserve">, </w:t>
      </w:r>
      <w:r w:rsidRPr="00E67107">
        <w:rPr>
          <w:i/>
          <w:iCs/>
        </w:rPr>
        <w:t>17</w:t>
      </w:r>
      <w:r w:rsidRPr="00E67107">
        <w:t>(11 November), 1–22. https://doi.org/10.1371/journal.pone.0278052</w:t>
      </w:r>
    </w:p>
    <w:p w14:paraId="7E56312E" w14:textId="77777777" w:rsidR="00E67107" w:rsidRPr="00E67107" w:rsidRDefault="00E67107" w:rsidP="00E67107">
      <w:pPr>
        <w:pStyle w:val="Referensi"/>
      </w:pPr>
      <w:r w:rsidRPr="00E67107">
        <w:t xml:space="preserve">Yuyun, I. (2023). Investigating university student engagement in online learning: A case study in EFL classroom. </w:t>
      </w:r>
      <w:r w:rsidRPr="00E67107">
        <w:rPr>
          <w:i/>
          <w:iCs/>
        </w:rPr>
        <w:t>Indonesian Journal of Applied Linguistics</w:t>
      </w:r>
      <w:r w:rsidRPr="00E67107">
        <w:t xml:space="preserve">, </w:t>
      </w:r>
      <w:r w:rsidRPr="00E67107">
        <w:rPr>
          <w:i/>
          <w:iCs/>
        </w:rPr>
        <w:t>12</w:t>
      </w:r>
      <w:r w:rsidRPr="00E67107">
        <w:t>(3), 634–653. https://doi.org/10.17509/ijal.v12i3.46035</w:t>
      </w:r>
    </w:p>
    <w:p w14:paraId="2B680125" w14:textId="26E920A8" w:rsidR="008F088E" w:rsidRDefault="00E67107" w:rsidP="00E67107">
      <w:pPr>
        <w:pStyle w:val="Referensi"/>
      </w:pPr>
      <w:r>
        <w:fldChar w:fldCharType="end"/>
      </w:r>
    </w:p>
    <w:p w14:paraId="35E84FF8" w14:textId="6657B86A" w:rsidR="008F088E" w:rsidRDefault="008F088E" w:rsidP="008F088E">
      <w:pPr>
        <w:tabs>
          <w:tab w:val="left" w:pos="5387"/>
        </w:tabs>
      </w:pPr>
      <w:r>
        <w:tab/>
        <w:t>Mempawah, 23 Januari 2026</w:t>
      </w:r>
    </w:p>
    <w:p w14:paraId="569FF833" w14:textId="1AC40855" w:rsidR="008F088E" w:rsidRDefault="008F088E" w:rsidP="008F088E">
      <w:pPr>
        <w:tabs>
          <w:tab w:val="left" w:pos="5387"/>
        </w:tabs>
        <w:ind w:left="0"/>
      </w:pPr>
      <w:r>
        <w:tab/>
        <w:t>ttd</w:t>
      </w:r>
    </w:p>
    <w:p w14:paraId="51B5BDBF" w14:textId="76B017B6" w:rsidR="008F088E" w:rsidRDefault="008F088E" w:rsidP="008F088E">
      <w:pPr>
        <w:tabs>
          <w:tab w:val="left" w:pos="5387"/>
        </w:tabs>
        <w:spacing w:before="0" w:line="240" w:lineRule="auto"/>
        <w:ind w:left="0"/>
      </w:pPr>
      <w:r>
        <w:tab/>
        <w:t>Ari Apriansyah, S.Kom</w:t>
      </w:r>
    </w:p>
    <w:p w14:paraId="7F3BD2C5" w14:textId="3FC740CD" w:rsidR="008F088E" w:rsidRPr="00C070C7" w:rsidRDefault="008F088E" w:rsidP="008F088E">
      <w:pPr>
        <w:tabs>
          <w:tab w:val="left" w:pos="5387"/>
        </w:tabs>
        <w:spacing w:before="0" w:line="240" w:lineRule="auto"/>
        <w:ind w:left="0"/>
      </w:pPr>
      <w:r>
        <w:tab/>
        <w:t>NIP. 199404242020121021</w:t>
      </w:r>
    </w:p>
    <w:sectPr w:rsidR="008F088E" w:rsidRPr="00C070C7" w:rsidSect="00C81DA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01EC3"/>
    <w:multiLevelType w:val="hybridMultilevel"/>
    <w:tmpl w:val="178C968E"/>
    <w:lvl w:ilvl="0" w:tplc="443281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7B42"/>
    <w:multiLevelType w:val="hybridMultilevel"/>
    <w:tmpl w:val="C4B83B26"/>
    <w:lvl w:ilvl="0" w:tplc="1A2E9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F4EEA"/>
    <w:multiLevelType w:val="hybridMultilevel"/>
    <w:tmpl w:val="7F4ABB60"/>
    <w:lvl w:ilvl="0" w:tplc="5ED80B20">
      <w:start w:val="1"/>
      <w:numFmt w:val="upperLetter"/>
      <w:pStyle w:val="Heading2"/>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67B3BE7"/>
    <w:multiLevelType w:val="hybridMultilevel"/>
    <w:tmpl w:val="C09A8B38"/>
    <w:lvl w:ilvl="0" w:tplc="D9CAA5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C4058"/>
    <w:multiLevelType w:val="hybridMultilevel"/>
    <w:tmpl w:val="FEE2D10E"/>
    <w:lvl w:ilvl="0" w:tplc="82CC682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5" w15:restartNumberingAfterBreak="0">
    <w:nsid w:val="1F570D1E"/>
    <w:multiLevelType w:val="hybridMultilevel"/>
    <w:tmpl w:val="CAD04CC8"/>
    <w:lvl w:ilvl="0" w:tplc="73527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C198D"/>
    <w:multiLevelType w:val="hybridMultilevel"/>
    <w:tmpl w:val="129AE9E8"/>
    <w:lvl w:ilvl="0" w:tplc="586A4F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0469F8"/>
    <w:multiLevelType w:val="hybridMultilevel"/>
    <w:tmpl w:val="A8C0542E"/>
    <w:lvl w:ilvl="0" w:tplc="A95491F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6EEF0CAF"/>
    <w:multiLevelType w:val="hybridMultilevel"/>
    <w:tmpl w:val="1E0E519C"/>
    <w:lvl w:ilvl="0" w:tplc="95BAA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0C5D57"/>
    <w:multiLevelType w:val="hybridMultilevel"/>
    <w:tmpl w:val="5F2697F2"/>
    <w:lvl w:ilvl="0" w:tplc="EA14B5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863FA5"/>
    <w:multiLevelType w:val="hybridMultilevel"/>
    <w:tmpl w:val="A3C2F904"/>
    <w:lvl w:ilvl="0" w:tplc="747AFB9A">
      <w:start w:val="1"/>
      <w:numFmt w:val="upperRoman"/>
      <w:pStyle w:val="Heading1"/>
      <w:lvlText w:val="BAB %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num>
  <w:num w:numId="7">
    <w:abstractNumId w:val="5"/>
  </w:num>
  <w:num w:numId="8">
    <w:abstractNumId w:val="0"/>
  </w:num>
  <w:num w:numId="9">
    <w:abstractNumId w:val="1"/>
  </w:num>
  <w:num w:numId="10">
    <w:abstractNumId w:val="8"/>
  </w:num>
  <w:num w:numId="11">
    <w:abstractNumId w:val="9"/>
  </w:num>
  <w:num w:numId="12">
    <w:abstractNumId w:val="7"/>
  </w:num>
  <w:num w:numId="13">
    <w:abstractNumId w:val="4"/>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DA1"/>
    <w:rsid w:val="0000341B"/>
    <w:rsid w:val="000109D1"/>
    <w:rsid w:val="00026549"/>
    <w:rsid w:val="00044053"/>
    <w:rsid w:val="00074C6A"/>
    <w:rsid w:val="000877D3"/>
    <w:rsid w:val="000B51FF"/>
    <w:rsid w:val="00163F7C"/>
    <w:rsid w:val="001A5463"/>
    <w:rsid w:val="001B417D"/>
    <w:rsid w:val="001C7CF6"/>
    <w:rsid w:val="00204542"/>
    <w:rsid w:val="00213B56"/>
    <w:rsid w:val="0025254B"/>
    <w:rsid w:val="002619C5"/>
    <w:rsid w:val="00294E7C"/>
    <w:rsid w:val="002B6C91"/>
    <w:rsid w:val="002F1C5F"/>
    <w:rsid w:val="002F1DBF"/>
    <w:rsid w:val="00324B3C"/>
    <w:rsid w:val="00367D53"/>
    <w:rsid w:val="003C6CCF"/>
    <w:rsid w:val="003D4354"/>
    <w:rsid w:val="003D554A"/>
    <w:rsid w:val="00405063"/>
    <w:rsid w:val="00421C5C"/>
    <w:rsid w:val="00471CC2"/>
    <w:rsid w:val="004B74C3"/>
    <w:rsid w:val="00515F4A"/>
    <w:rsid w:val="005542BF"/>
    <w:rsid w:val="006172F1"/>
    <w:rsid w:val="006308D0"/>
    <w:rsid w:val="00644132"/>
    <w:rsid w:val="006A0DC7"/>
    <w:rsid w:val="006D4B67"/>
    <w:rsid w:val="006E42B2"/>
    <w:rsid w:val="006E478F"/>
    <w:rsid w:val="0074334B"/>
    <w:rsid w:val="00776695"/>
    <w:rsid w:val="00776E70"/>
    <w:rsid w:val="00820756"/>
    <w:rsid w:val="008632B6"/>
    <w:rsid w:val="008D55D8"/>
    <w:rsid w:val="008E020C"/>
    <w:rsid w:val="008F088E"/>
    <w:rsid w:val="00914C65"/>
    <w:rsid w:val="00922D99"/>
    <w:rsid w:val="00933602"/>
    <w:rsid w:val="009B41CD"/>
    <w:rsid w:val="009E0477"/>
    <w:rsid w:val="009F2A75"/>
    <w:rsid w:val="00A16FD0"/>
    <w:rsid w:val="00A84BE9"/>
    <w:rsid w:val="00AE149E"/>
    <w:rsid w:val="00AE3510"/>
    <w:rsid w:val="00B16A1B"/>
    <w:rsid w:val="00B2313C"/>
    <w:rsid w:val="00B95E06"/>
    <w:rsid w:val="00C070C7"/>
    <w:rsid w:val="00C07F82"/>
    <w:rsid w:val="00C12F05"/>
    <w:rsid w:val="00C81DA1"/>
    <w:rsid w:val="00CF3923"/>
    <w:rsid w:val="00D160C6"/>
    <w:rsid w:val="00D17C3E"/>
    <w:rsid w:val="00D21307"/>
    <w:rsid w:val="00DD5084"/>
    <w:rsid w:val="00DE30A7"/>
    <w:rsid w:val="00E02E21"/>
    <w:rsid w:val="00E04F4D"/>
    <w:rsid w:val="00E13E1F"/>
    <w:rsid w:val="00E26DE3"/>
    <w:rsid w:val="00E46B8C"/>
    <w:rsid w:val="00E67107"/>
    <w:rsid w:val="00EE5F76"/>
    <w:rsid w:val="00F2527C"/>
    <w:rsid w:val="00F469E6"/>
    <w:rsid w:val="00F5792E"/>
    <w:rsid w:val="00F7084D"/>
    <w:rsid w:val="00FC15E9"/>
    <w:rsid w:val="00FD7CE9"/>
    <w:rsid w:val="00FF3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B0660"/>
  <w15:chartTrackingRefBased/>
  <w15:docId w15:val="{B730785F-6F49-4810-94A6-F9F0157D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E70"/>
    <w:pPr>
      <w:spacing w:before="120" w:after="0" w:line="360" w:lineRule="auto"/>
      <w:ind w:left="357"/>
      <w:jc w:val="both"/>
    </w:pPr>
    <w:rPr>
      <w:rFonts w:ascii="Bookman Old Style" w:hAnsi="Bookman Old Style"/>
      <w:sz w:val="24"/>
    </w:rPr>
  </w:style>
  <w:style w:type="paragraph" w:styleId="Heading1">
    <w:name w:val="heading 1"/>
    <w:aliases w:val="BAB"/>
    <w:basedOn w:val="Normal"/>
    <w:next w:val="Normal"/>
    <w:link w:val="Heading1Char"/>
    <w:uiPriority w:val="9"/>
    <w:qFormat/>
    <w:rsid w:val="00D160C6"/>
    <w:pPr>
      <w:keepNext/>
      <w:keepLines/>
      <w:numPr>
        <w:numId w:val="1"/>
      </w:numPr>
      <w:spacing w:before="0"/>
      <w:ind w:left="0" w:firstLine="0"/>
      <w:jc w:val="center"/>
      <w:outlineLvl w:val="0"/>
    </w:pPr>
    <w:rPr>
      <w:rFonts w:eastAsiaTheme="majorEastAsia" w:cstheme="majorBidi"/>
      <w:b/>
      <w:szCs w:val="32"/>
    </w:rPr>
  </w:style>
  <w:style w:type="paragraph" w:styleId="Heading2">
    <w:name w:val="heading 2"/>
    <w:aliases w:val="Sub BAB"/>
    <w:basedOn w:val="Normal"/>
    <w:next w:val="Normal"/>
    <w:link w:val="Heading2Char"/>
    <w:uiPriority w:val="9"/>
    <w:unhideWhenUsed/>
    <w:qFormat/>
    <w:rsid w:val="00C81DA1"/>
    <w:pPr>
      <w:keepNext/>
      <w:keepLines/>
      <w:numPr>
        <w:numId w:val="2"/>
      </w:numPr>
      <w:suppressAutoHyphens/>
      <w:ind w:left="360"/>
      <w:outlineLvl w:val="1"/>
    </w:pPr>
    <w:rPr>
      <w:rFonts w:eastAsia="Arial" w:cs="Arial"/>
      <w:b/>
      <w:color w:val="000000"/>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ub BAB Char"/>
    <w:basedOn w:val="DefaultParagraphFont"/>
    <w:link w:val="Heading2"/>
    <w:uiPriority w:val="9"/>
    <w:qFormat/>
    <w:rsid w:val="00C81DA1"/>
    <w:rPr>
      <w:rFonts w:ascii="Bookman Old Style" w:eastAsia="Arial" w:hAnsi="Bookman Old Style" w:cs="Arial"/>
      <w:b/>
      <w:color w:val="000000"/>
      <w:sz w:val="24"/>
      <w:szCs w:val="24"/>
      <w:lang w:val="id-ID"/>
    </w:rPr>
  </w:style>
  <w:style w:type="paragraph" w:customStyle="1" w:styleId="FrameContentsuser">
    <w:name w:val="Frame Contents (user)"/>
    <w:basedOn w:val="Normal"/>
    <w:qFormat/>
    <w:rsid w:val="00C81DA1"/>
    <w:pPr>
      <w:suppressAutoHyphens/>
      <w:ind w:left="567"/>
    </w:pPr>
    <w:rPr>
      <w:rFonts w:ascii="Arial" w:eastAsia="Arial" w:hAnsi="Arial" w:cs="Arial"/>
      <w:szCs w:val="24"/>
      <w:lang w:val="id-ID"/>
    </w:rPr>
  </w:style>
  <w:style w:type="character" w:customStyle="1" w:styleId="Heading1Char">
    <w:name w:val="Heading 1 Char"/>
    <w:aliases w:val="BAB Char"/>
    <w:basedOn w:val="DefaultParagraphFont"/>
    <w:link w:val="Heading1"/>
    <w:uiPriority w:val="9"/>
    <w:rsid w:val="00D160C6"/>
    <w:rPr>
      <w:rFonts w:ascii="Bookman Old Style" w:eastAsiaTheme="majorEastAsia" w:hAnsi="Bookman Old Style" w:cstheme="majorBidi"/>
      <w:b/>
      <w:sz w:val="24"/>
      <w:szCs w:val="32"/>
    </w:rPr>
  </w:style>
  <w:style w:type="paragraph" w:styleId="ListParagraph">
    <w:name w:val="List Paragraph"/>
    <w:basedOn w:val="Normal"/>
    <w:uiPriority w:val="34"/>
    <w:qFormat/>
    <w:rsid w:val="00AE149E"/>
    <w:pPr>
      <w:ind w:left="720"/>
      <w:contextualSpacing/>
    </w:pPr>
  </w:style>
  <w:style w:type="paragraph" w:customStyle="1" w:styleId="Referensi">
    <w:name w:val="Referensi"/>
    <w:basedOn w:val="Normal"/>
    <w:link w:val="ReferensiChar"/>
    <w:qFormat/>
    <w:rsid w:val="00E67107"/>
    <w:pPr>
      <w:widowControl w:val="0"/>
      <w:autoSpaceDE w:val="0"/>
      <w:autoSpaceDN w:val="0"/>
      <w:adjustRightInd w:val="0"/>
      <w:ind w:hanging="357"/>
    </w:pPr>
    <w:rPr>
      <w:rFonts w:cs="Times New Roman"/>
      <w:noProof/>
      <w:szCs w:val="24"/>
    </w:rPr>
  </w:style>
  <w:style w:type="character" w:customStyle="1" w:styleId="ReferensiChar">
    <w:name w:val="Referensi Char"/>
    <w:basedOn w:val="DefaultParagraphFont"/>
    <w:link w:val="Referensi"/>
    <w:rsid w:val="00E67107"/>
    <w:rPr>
      <w:rFonts w:ascii="Bookman Old Style" w:hAnsi="Bookman Old Style" w:cs="Times New Roman"/>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66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4FAE8-22BF-41A0-A462-F0D909448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10</Pages>
  <Words>4346</Words>
  <Characters>24778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it</cp:lastModifiedBy>
  <cp:revision>44</cp:revision>
  <cp:lastPrinted>2026-01-23T03:45:00Z</cp:lastPrinted>
  <dcterms:created xsi:type="dcterms:W3CDTF">2026-01-23T01:49:00Z</dcterms:created>
  <dcterms:modified xsi:type="dcterms:W3CDTF">2026-01-23T07:03:00Z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5f089e91-724a-337d-a623-b77afce4fbf4</vt:lpwstr>
  </property>
</Properties>
</file>