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2C2A" w:rsidRDefault="00E23D7E">
      <w:pPr>
        <w:pStyle w:val="Title"/>
      </w:pPr>
      <w:r>
        <w:t>Users to review</w:t>
      </w:r>
    </w:p>
    <w:p w:rsidR="00022C2A" w:rsidRDefault="00E23D7E">
      <w:pPr>
        <w:spacing w:after="60"/>
      </w:pPr>
      <w:r>
        <w:rPr>
          <w:color w:val="6B7280"/>
          <w:sz w:val="26"/>
          <w:szCs w:val="26"/>
        </w:rPr>
        <w:t xml:space="preserve">Budget-burn </w:t>
      </w:r>
      <w:proofErr w:type="spellStart"/>
      <w:r>
        <w:rPr>
          <w:color w:val="6B7280"/>
          <w:sz w:val="26"/>
          <w:szCs w:val="26"/>
        </w:rPr>
        <w:t>watchlist</w:t>
      </w:r>
      <w:proofErr w:type="spellEnd"/>
      <w:r>
        <w:rPr>
          <w:color w:val="6B7280"/>
          <w:sz w:val="26"/>
          <w:szCs w:val="26"/>
        </w:rPr>
        <w:t xml:space="preserve"> in </w:t>
      </w:r>
      <w:proofErr w:type="spellStart"/>
      <w:r>
        <w:rPr>
          <w:color w:val="6B7280"/>
          <w:sz w:val="26"/>
          <w:szCs w:val="26"/>
        </w:rPr>
        <w:t>OneFlowe</w:t>
      </w:r>
      <w:proofErr w:type="spellEnd"/>
      <w:r>
        <w:rPr>
          <w:color w:val="6B7280"/>
          <w:sz w:val="26"/>
          <w:szCs w:val="26"/>
        </w:rPr>
        <w:t xml:space="preserve"> Graphical Reports</w:t>
      </w:r>
    </w:p>
    <w:p w:rsidR="00022C2A" w:rsidRDefault="00E23D7E">
      <w:pPr>
        <w:pBdr>
          <w:bottom w:val="single" w:sz="6" w:space="6" w:color="4F46E5"/>
        </w:pBdr>
        <w:spacing w:after="360"/>
      </w:pPr>
      <w:r>
        <w:rPr>
          <w:color w:val="6B7280"/>
          <w:sz w:val="20"/>
          <w:szCs w:val="20"/>
        </w:rPr>
        <w:t>Feature walkthrough · September 2026</w:t>
      </w:r>
    </w:p>
    <w:p w:rsidR="00022C2A" w:rsidRDefault="00E23D7E">
      <w:pPr>
        <w:spacing w:after="140"/>
      </w:pPr>
      <w:r>
        <w:t>Every branch shares one monthly budget. This feature shows Head Office a short, ranked list of the people whose use of that shared budget looks unusual this month, explains why each of them is on the list, and lets the reviewer open the exact orders behind</w:t>
      </w:r>
      <w:r>
        <w:t xml:space="preserve"> the figures. It highlights patterns for a person to look at — it does not decide anything, block anything, or prove intent.</w:t>
      </w:r>
    </w:p>
    <w:p w:rsidR="00022C2A" w:rsidRDefault="00E23D7E">
      <w:pPr>
        <w:pStyle w:val="Heading1"/>
      </w:pPr>
      <w:r>
        <w:t>Where it lives</w:t>
      </w:r>
    </w:p>
    <w:p w:rsidR="00022C2A" w:rsidRDefault="00E23D7E">
      <w:pPr>
        <w:spacing w:before="120" w:after="80"/>
        <w:jc w:val="center"/>
      </w:pPr>
      <w:r>
        <w:rPr>
          <w:noProof/>
        </w:rPr>
        <w:drawing>
          <wp:inline distT="0" distB="0" distL="0" distR="0">
            <wp:extent cx="6124575" cy="3829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124575" cy="3829050"/>
                    </a:xfrm>
                    <a:prstGeom prst="rect">
                      <a:avLst/>
                    </a:prstGeom>
                  </pic:spPr>
                </pic:pic>
              </a:graphicData>
            </a:graphic>
          </wp:inline>
        </w:drawing>
      </w:r>
    </w:p>
    <w:p w:rsidR="00022C2A" w:rsidRDefault="00E23D7E">
      <w:pPr>
        <w:spacing w:after="240"/>
      </w:pPr>
      <w:r>
        <w:rPr>
          <w:b/>
          <w:bCs/>
          <w:color w:val="6B7280"/>
          <w:sz w:val="18"/>
          <w:szCs w:val="18"/>
        </w:rPr>
        <w:t xml:space="preserve">Figure 1. </w:t>
      </w:r>
      <w:r>
        <w:rPr>
          <w:color w:val="6B7280"/>
          <w:sz w:val="18"/>
          <w:szCs w:val="18"/>
        </w:rPr>
        <w:t>Graphical Reports → Executive Overview. The panel sits below the existing budget and trend charts, besid</w:t>
      </w:r>
      <w:r>
        <w:rPr>
          <w:color w:val="6B7280"/>
          <w:sz w:val="18"/>
          <w:szCs w:val="18"/>
        </w:rPr>
        <w:t>e “Needs attention”. It is available to Head Office and Super Admin accounts, and follows the same organization, group and branch filters as the rest of the page.</w:t>
      </w:r>
    </w:p>
    <w:p w:rsidR="00022C2A" w:rsidRDefault="00E23D7E">
      <w:pPr>
        <w:pStyle w:val="Heading1"/>
      </w:pPr>
      <w:r>
        <w:t>The list</w:t>
      </w:r>
    </w:p>
    <w:p w:rsidR="00022C2A" w:rsidRDefault="00E23D7E">
      <w:pPr>
        <w:spacing w:before="120" w:after="80"/>
        <w:jc w:val="center"/>
      </w:pPr>
      <w:r>
        <w:rPr>
          <w:noProof/>
        </w:rPr>
        <w:lastRenderedPageBreak/>
        <w:drawing>
          <wp:inline distT="0" distB="0" distL="0" distR="0">
            <wp:extent cx="6124575" cy="23717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124575" cy="2371725"/>
                    </a:xfrm>
                    <a:prstGeom prst="rect">
                      <a:avLst/>
                    </a:prstGeom>
                  </pic:spPr>
                </pic:pic>
              </a:graphicData>
            </a:graphic>
          </wp:inline>
        </w:drawing>
      </w:r>
    </w:p>
    <w:p w:rsidR="00022C2A" w:rsidRDefault="00E23D7E">
      <w:pPr>
        <w:spacing w:after="240"/>
      </w:pPr>
      <w:r>
        <w:rPr>
          <w:b/>
          <w:bCs/>
          <w:color w:val="6B7280"/>
          <w:sz w:val="18"/>
          <w:szCs w:val="18"/>
        </w:rPr>
        <w:t xml:space="preserve">Figure 2. </w:t>
      </w:r>
      <w:r>
        <w:rPr>
          <w:color w:val="6B7280"/>
          <w:sz w:val="18"/>
          <w:szCs w:val="18"/>
        </w:rPr>
        <w:t>One row per person per branch, ranked by score. Spend is what has been a</w:t>
      </w:r>
      <w:r>
        <w:rPr>
          <w:color w:val="6B7280"/>
          <w:sz w:val="18"/>
          <w:szCs w:val="18"/>
        </w:rPr>
        <w:t xml:space="preserve">pproved or delivered this month; Pending is money locked in orders still awaiting approval, shown separately with the number of orders. Share is the person's part of everything the branch consumed; </w:t>
      </w:r>
      <w:proofErr w:type="spellStart"/>
      <w:r>
        <w:rPr>
          <w:color w:val="6B7280"/>
          <w:sz w:val="18"/>
          <w:szCs w:val="18"/>
        </w:rPr>
        <w:t>MoM</w:t>
      </w:r>
      <w:proofErr w:type="spellEnd"/>
      <w:r>
        <w:rPr>
          <w:color w:val="6B7280"/>
          <w:sz w:val="18"/>
          <w:szCs w:val="18"/>
        </w:rPr>
        <w:t xml:space="preserve"> compares with the same person last month to the same d</w:t>
      </w:r>
      <w:r>
        <w:rPr>
          <w:color w:val="6B7280"/>
          <w:sz w:val="18"/>
          <w:szCs w:val="18"/>
        </w:rPr>
        <w:t>ay; vs peers compares with the typical colleague at the same branch. The chips under Why say exactly which patterns were seen, and the score adds them up. A dash means there was nothing fair to compare against.</w:t>
      </w:r>
    </w:p>
    <w:p w:rsidR="00022C2A" w:rsidRDefault="00E23D7E">
      <w:pPr>
        <w:pStyle w:val="Heading1"/>
      </w:pPr>
      <w:r>
        <w:t>How someone gets on the list</w:t>
      </w:r>
    </w:p>
    <w:p w:rsidR="00022C2A" w:rsidRDefault="00E23D7E">
      <w:pPr>
        <w:spacing w:after="140"/>
      </w:pPr>
      <w:r>
        <w:t>Each pattern bel</w:t>
      </w:r>
      <w:r>
        <w:t xml:space="preserve">ow is a chip. The points are added; a person appears when the total reaches 4. The thresholds are fixed numbers, shown to the reviewer on every chip, so a flag is never just a </w:t>
      </w:r>
      <w:proofErr w:type="spellStart"/>
      <w:r>
        <w:t>colour</w:t>
      </w:r>
      <w:proofErr w:type="spellEnd"/>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438"/>
        <w:gridCol w:w="1200"/>
      </w:tblGrid>
      <w:tr w:rsidR="00022C2A">
        <w:tblPrEx>
          <w:tblCellMar>
            <w:top w:w="0" w:type="dxa"/>
            <w:bottom w:w="0" w:type="dxa"/>
          </w:tblCellMar>
        </w:tblPrEx>
        <w:trPr>
          <w:tblHeader/>
        </w:trPr>
        <w:tc>
          <w:tcPr>
            <w:tcW w:w="2000" w:type="dxa"/>
            <w:tcBorders>
              <w:top w:val="single" w:sz="4" w:space="0" w:color="E5E7EB"/>
              <w:left w:val="none" w:sz="0" w:space="0" w:color="FFFFFF"/>
              <w:bottom w:val="single" w:sz="4" w:space="0" w:color="E5E7EB"/>
              <w:right w:val="none" w:sz="0" w:space="0" w:color="FFFFFF"/>
            </w:tcBorders>
            <w:shd w:val="clear" w:color="auto" w:fill="F3F4F6"/>
            <w:tcMar>
              <w:top w:w="80" w:type="dxa"/>
              <w:left w:w="100" w:type="dxa"/>
              <w:bottom w:w="80" w:type="dxa"/>
              <w:right w:w="100" w:type="dxa"/>
            </w:tcMar>
          </w:tcPr>
          <w:p w:rsidR="00022C2A" w:rsidRDefault="00E23D7E">
            <w:r>
              <w:rPr>
                <w:b/>
                <w:bCs/>
                <w:sz w:val="19"/>
                <w:szCs w:val="19"/>
              </w:rPr>
              <w:t>Chip</w:t>
            </w:r>
          </w:p>
        </w:tc>
        <w:tc>
          <w:tcPr>
            <w:tcW w:w="6438" w:type="dxa"/>
            <w:tcBorders>
              <w:top w:val="single" w:sz="4" w:space="0" w:color="E5E7EB"/>
              <w:left w:val="none" w:sz="0" w:space="0" w:color="FFFFFF"/>
              <w:bottom w:val="single" w:sz="4" w:space="0" w:color="E5E7EB"/>
              <w:right w:val="none" w:sz="0" w:space="0" w:color="FFFFFF"/>
            </w:tcBorders>
            <w:shd w:val="clear" w:color="auto" w:fill="F3F4F6"/>
            <w:tcMar>
              <w:top w:w="80" w:type="dxa"/>
              <w:left w:w="100" w:type="dxa"/>
              <w:bottom w:w="80" w:type="dxa"/>
              <w:right w:w="100" w:type="dxa"/>
            </w:tcMar>
          </w:tcPr>
          <w:p w:rsidR="00022C2A" w:rsidRDefault="00E23D7E">
            <w:r>
              <w:rPr>
                <w:b/>
                <w:bCs/>
                <w:sz w:val="19"/>
                <w:szCs w:val="19"/>
              </w:rPr>
              <w:t>What it means</w:t>
            </w:r>
          </w:p>
        </w:tc>
        <w:tc>
          <w:tcPr>
            <w:tcW w:w="1200" w:type="dxa"/>
            <w:tcBorders>
              <w:top w:val="single" w:sz="4" w:space="0" w:color="E5E7EB"/>
              <w:left w:val="none" w:sz="0" w:space="0" w:color="FFFFFF"/>
              <w:bottom w:val="single" w:sz="4" w:space="0" w:color="E5E7EB"/>
              <w:right w:val="none" w:sz="0" w:space="0" w:color="FFFFFF"/>
            </w:tcBorders>
            <w:shd w:val="clear" w:color="auto" w:fill="F3F4F6"/>
            <w:tcMar>
              <w:top w:w="80" w:type="dxa"/>
              <w:left w:w="100" w:type="dxa"/>
              <w:bottom w:w="80" w:type="dxa"/>
              <w:right w:w="100" w:type="dxa"/>
            </w:tcMar>
          </w:tcPr>
          <w:p w:rsidR="00022C2A" w:rsidRDefault="00E23D7E">
            <w:pPr>
              <w:jc w:val="right"/>
            </w:pPr>
            <w:r>
              <w:rPr>
                <w:b/>
                <w:bCs/>
                <w:sz w:val="19"/>
                <w:szCs w:val="19"/>
              </w:rPr>
              <w:t>Points</w:t>
            </w:r>
          </w:p>
        </w:tc>
      </w:tr>
      <w:tr w:rsidR="00022C2A">
        <w:tblPrEx>
          <w:tblCellMar>
            <w:top w:w="0" w:type="dxa"/>
            <w:bottom w:w="0" w:type="dxa"/>
          </w:tblCellMar>
        </w:tblPrEx>
        <w:tc>
          <w:tcPr>
            <w:tcW w:w="2000" w:type="dxa"/>
            <w:tcBorders>
              <w:top w:val="single" w:sz="4" w:space="0" w:color="E5E7EB"/>
              <w:left w:val="none" w:sz="0" w:space="0" w:color="FFFFFF"/>
              <w:bottom w:val="single" w:sz="4" w:space="0" w:color="E5E7EB"/>
              <w:right w:val="none" w:sz="0" w:space="0" w:color="FFFFFF"/>
            </w:tcBorders>
            <w:tcMar>
              <w:top w:w="80" w:type="dxa"/>
              <w:left w:w="100" w:type="dxa"/>
              <w:bottom w:w="80" w:type="dxa"/>
              <w:right w:w="100" w:type="dxa"/>
            </w:tcMar>
          </w:tcPr>
          <w:p w:rsidR="00022C2A" w:rsidRDefault="00E23D7E">
            <w:r>
              <w:rPr>
                <w:b/>
                <w:bCs/>
                <w:sz w:val="19"/>
                <w:szCs w:val="19"/>
              </w:rPr>
              <w:t>High share</w:t>
            </w:r>
          </w:p>
        </w:tc>
        <w:tc>
          <w:tcPr>
            <w:tcW w:w="6438" w:type="dxa"/>
            <w:tcBorders>
              <w:top w:val="single" w:sz="4" w:space="0" w:color="E5E7EB"/>
              <w:left w:val="none" w:sz="0" w:space="0" w:color="FFFFFF"/>
              <w:bottom w:val="single" w:sz="4" w:space="0" w:color="E5E7EB"/>
              <w:right w:val="none" w:sz="0" w:space="0" w:color="FFFFFF"/>
            </w:tcBorders>
            <w:tcMar>
              <w:top w:w="80" w:type="dxa"/>
              <w:left w:w="100" w:type="dxa"/>
              <w:bottom w:w="80" w:type="dxa"/>
              <w:right w:w="100" w:type="dxa"/>
            </w:tcMar>
          </w:tcPr>
          <w:p w:rsidR="00022C2A" w:rsidRDefault="00E23D7E" w:rsidP="00F86ECF">
            <w:r>
              <w:rPr>
                <w:sz w:val="19"/>
                <w:szCs w:val="19"/>
              </w:rPr>
              <w:t xml:space="preserve">One person accounts for 40% or more of everything the branch consumed this month (only counted when at least two people at the branch are ordering, and the branch has consumed at least </w:t>
            </w:r>
            <w:proofErr w:type="spellStart"/>
            <w:r>
              <w:rPr>
                <w:sz w:val="19"/>
                <w:szCs w:val="19"/>
              </w:rPr>
              <w:t>Rs</w:t>
            </w:r>
            <w:proofErr w:type="spellEnd"/>
            <w:r>
              <w:rPr>
                <w:sz w:val="19"/>
                <w:szCs w:val="19"/>
              </w:rPr>
              <w:t xml:space="preserve"> 20,000).</w:t>
            </w:r>
            <w:r w:rsidR="00F86ECF">
              <w:rPr>
                <w:sz w:val="19"/>
                <w:szCs w:val="19"/>
              </w:rPr>
              <w:t xml:space="preserve"> (</w:t>
            </w:r>
          </w:p>
        </w:tc>
        <w:tc>
          <w:tcPr>
            <w:tcW w:w="1200" w:type="dxa"/>
            <w:tcBorders>
              <w:top w:val="single" w:sz="4" w:space="0" w:color="E5E7EB"/>
              <w:left w:val="none" w:sz="0" w:space="0" w:color="FFFFFF"/>
              <w:bottom w:val="single" w:sz="4" w:space="0" w:color="E5E7EB"/>
              <w:right w:val="none" w:sz="0" w:space="0" w:color="FFFFFF"/>
            </w:tcBorders>
            <w:tcMar>
              <w:top w:w="80" w:type="dxa"/>
              <w:left w:w="100" w:type="dxa"/>
              <w:bottom w:w="80" w:type="dxa"/>
              <w:right w:w="100" w:type="dxa"/>
            </w:tcMar>
          </w:tcPr>
          <w:p w:rsidR="00022C2A" w:rsidRDefault="00E23D7E">
            <w:pPr>
              <w:jc w:val="right"/>
            </w:pPr>
            <w:r>
              <w:rPr>
                <w:sz w:val="19"/>
                <w:szCs w:val="19"/>
              </w:rPr>
              <w:t>3</w:t>
            </w:r>
          </w:p>
        </w:tc>
      </w:tr>
      <w:tr w:rsidR="00022C2A">
        <w:tblPrEx>
          <w:tblCellMar>
            <w:top w:w="0" w:type="dxa"/>
            <w:bottom w:w="0" w:type="dxa"/>
          </w:tblCellMar>
        </w:tblPrEx>
        <w:tc>
          <w:tcPr>
            <w:tcW w:w="2000" w:type="dxa"/>
            <w:tcBorders>
              <w:top w:val="single" w:sz="4" w:space="0" w:color="E5E7EB"/>
              <w:left w:val="none" w:sz="0" w:space="0" w:color="FFFFFF"/>
              <w:bottom w:val="single" w:sz="4" w:space="0" w:color="E5E7EB"/>
              <w:right w:val="none" w:sz="0" w:space="0" w:color="FFFFFF"/>
            </w:tcBorders>
            <w:tcMar>
              <w:top w:w="80" w:type="dxa"/>
              <w:left w:w="100" w:type="dxa"/>
              <w:bottom w:w="80" w:type="dxa"/>
              <w:right w:w="100" w:type="dxa"/>
            </w:tcMar>
          </w:tcPr>
          <w:p w:rsidR="00022C2A" w:rsidRDefault="00E23D7E">
            <w:bookmarkStart w:id="0" w:name="_GoBack" w:colFirst="0" w:colLast="1"/>
            <w:r>
              <w:rPr>
                <w:b/>
                <w:bCs/>
                <w:sz w:val="19"/>
                <w:szCs w:val="19"/>
              </w:rPr>
              <w:t>+</w:t>
            </w:r>
            <w:proofErr w:type="spellStart"/>
            <w:r>
              <w:rPr>
                <w:b/>
                <w:bCs/>
                <w:sz w:val="19"/>
                <w:szCs w:val="19"/>
              </w:rPr>
              <w:t>MoM</w:t>
            </w:r>
            <w:proofErr w:type="spellEnd"/>
          </w:p>
        </w:tc>
        <w:tc>
          <w:tcPr>
            <w:tcW w:w="6438" w:type="dxa"/>
            <w:tcBorders>
              <w:top w:val="single" w:sz="4" w:space="0" w:color="E5E7EB"/>
              <w:left w:val="none" w:sz="0" w:space="0" w:color="FFFFFF"/>
              <w:bottom w:val="single" w:sz="4" w:space="0" w:color="E5E7EB"/>
              <w:right w:val="none" w:sz="0" w:space="0" w:color="FFFFFF"/>
            </w:tcBorders>
            <w:tcMar>
              <w:top w:w="80" w:type="dxa"/>
              <w:left w:w="100" w:type="dxa"/>
              <w:bottom w:w="80" w:type="dxa"/>
              <w:right w:w="100" w:type="dxa"/>
            </w:tcMar>
          </w:tcPr>
          <w:p w:rsidR="00022C2A" w:rsidRDefault="00E23D7E">
            <w:r>
              <w:rPr>
                <w:sz w:val="19"/>
                <w:szCs w:val="19"/>
              </w:rPr>
              <w:t xml:space="preserve">At least 15% more than the same person consumed in the previous month, measured to the same day of the month. Ignored when last month was below </w:t>
            </w:r>
            <w:proofErr w:type="spellStart"/>
            <w:r>
              <w:rPr>
                <w:sz w:val="19"/>
                <w:szCs w:val="19"/>
              </w:rPr>
              <w:t>Rs</w:t>
            </w:r>
            <w:proofErr w:type="spellEnd"/>
            <w:r>
              <w:rPr>
                <w:sz w:val="19"/>
                <w:szCs w:val="19"/>
              </w:rPr>
              <w:t xml:space="preserve"> 5,000, so a tiny base that doubled does not flag.</w:t>
            </w:r>
          </w:p>
        </w:tc>
        <w:tc>
          <w:tcPr>
            <w:tcW w:w="1200" w:type="dxa"/>
            <w:tcBorders>
              <w:top w:val="single" w:sz="4" w:space="0" w:color="E5E7EB"/>
              <w:left w:val="none" w:sz="0" w:space="0" w:color="FFFFFF"/>
              <w:bottom w:val="single" w:sz="4" w:space="0" w:color="E5E7EB"/>
              <w:right w:val="none" w:sz="0" w:space="0" w:color="FFFFFF"/>
            </w:tcBorders>
            <w:tcMar>
              <w:top w:w="80" w:type="dxa"/>
              <w:left w:w="100" w:type="dxa"/>
              <w:bottom w:w="80" w:type="dxa"/>
              <w:right w:w="100" w:type="dxa"/>
            </w:tcMar>
          </w:tcPr>
          <w:p w:rsidR="00022C2A" w:rsidRDefault="00E23D7E">
            <w:pPr>
              <w:jc w:val="right"/>
            </w:pPr>
            <w:r>
              <w:rPr>
                <w:sz w:val="19"/>
                <w:szCs w:val="19"/>
              </w:rPr>
              <w:t>2</w:t>
            </w:r>
          </w:p>
        </w:tc>
      </w:tr>
      <w:bookmarkEnd w:id="0"/>
      <w:tr w:rsidR="00022C2A">
        <w:tblPrEx>
          <w:tblCellMar>
            <w:top w:w="0" w:type="dxa"/>
            <w:bottom w:w="0" w:type="dxa"/>
          </w:tblCellMar>
        </w:tblPrEx>
        <w:tc>
          <w:tcPr>
            <w:tcW w:w="2000" w:type="dxa"/>
            <w:tcBorders>
              <w:top w:val="single" w:sz="4" w:space="0" w:color="E5E7EB"/>
              <w:left w:val="none" w:sz="0" w:space="0" w:color="FFFFFF"/>
              <w:bottom w:val="single" w:sz="4" w:space="0" w:color="E5E7EB"/>
              <w:right w:val="none" w:sz="0" w:space="0" w:color="FFFFFF"/>
            </w:tcBorders>
            <w:tcMar>
              <w:top w:w="80" w:type="dxa"/>
              <w:left w:w="100" w:type="dxa"/>
              <w:bottom w:w="80" w:type="dxa"/>
              <w:right w:w="100" w:type="dxa"/>
            </w:tcMar>
          </w:tcPr>
          <w:p w:rsidR="00022C2A" w:rsidRDefault="00E23D7E">
            <w:r>
              <w:rPr>
                <w:b/>
                <w:bCs/>
                <w:sz w:val="19"/>
                <w:szCs w:val="19"/>
              </w:rPr>
              <w:t>Above peers</w:t>
            </w:r>
          </w:p>
        </w:tc>
        <w:tc>
          <w:tcPr>
            <w:tcW w:w="6438" w:type="dxa"/>
            <w:tcBorders>
              <w:top w:val="single" w:sz="4" w:space="0" w:color="E5E7EB"/>
              <w:left w:val="none" w:sz="0" w:space="0" w:color="FFFFFF"/>
              <w:bottom w:val="single" w:sz="4" w:space="0" w:color="E5E7EB"/>
              <w:right w:val="none" w:sz="0" w:space="0" w:color="FFFFFF"/>
            </w:tcBorders>
            <w:tcMar>
              <w:top w:w="80" w:type="dxa"/>
              <w:left w:w="100" w:type="dxa"/>
              <w:bottom w:w="80" w:type="dxa"/>
              <w:right w:w="100" w:type="dxa"/>
            </w:tcMar>
          </w:tcPr>
          <w:p w:rsidR="00022C2A" w:rsidRDefault="00E23D7E">
            <w:r>
              <w:rPr>
                <w:sz w:val="19"/>
                <w:szCs w:val="19"/>
              </w:rPr>
              <w:t>At least 50% above the typical (median) coll</w:t>
            </w:r>
            <w:r>
              <w:rPr>
                <w:sz w:val="19"/>
                <w:szCs w:val="19"/>
              </w:rPr>
              <w:t>eague at the same branch. Needs at least two other active colleagues to compare against.</w:t>
            </w:r>
            <w:r w:rsidR="00F86ECF">
              <w:rPr>
                <w:sz w:val="19"/>
                <w:szCs w:val="19"/>
              </w:rPr>
              <w:t xml:space="preserve"> (comparison b/w branches not users in same branch)</w:t>
            </w:r>
          </w:p>
        </w:tc>
        <w:tc>
          <w:tcPr>
            <w:tcW w:w="1200" w:type="dxa"/>
            <w:tcBorders>
              <w:top w:val="single" w:sz="4" w:space="0" w:color="E5E7EB"/>
              <w:left w:val="none" w:sz="0" w:space="0" w:color="FFFFFF"/>
              <w:bottom w:val="single" w:sz="4" w:space="0" w:color="E5E7EB"/>
              <w:right w:val="none" w:sz="0" w:space="0" w:color="FFFFFF"/>
            </w:tcBorders>
            <w:tcMar>
              <w:top w:w="80" w:type="dxa"/>
              <w:left w:w="100" w:type="dxa"/>
              <w:bottom w:w="80" w:type="dxa"/>
              <w:right w:w="100" w:type="dxa"/>
            </w:tcMar>
          </w:tcPr>
          <w:p w:rsidR="00022C2A" w:rsidRDefault="00E23D7E">
            <w:pPr>
              <w:jc w:val="right"/>
            </w:pPr>
            <w:r>
              <w:rPr>
                <w:sz w:val="19"/>
                <w:szCs w:val="19"/>
              </w:rPr>
              <w:t>2</w:t>
            </w:r>
          </w:p>
        </w:tc>
      </w:tr>
      <w:tr w:rsidR="00022C2A">
        <w:tblPrEx>
          <w:tblCellMar>
            <w:top w:w="0" w:type="dxa"/>
            <w:bottom w:w="0" w:type="dxa"/>
          </w:tblCellMar>
        </w:tblPrEx>
        <w:tc>
          <w:tcPr>
            <w:tcW w:w="2000" w:type="dxa"/>
            <w:tcBorders>
              <w:top w:val="single" w:sz="4" w:space="0" w:color="E5E7EB"/>
              <w:left w:val="none" w:sz="0" w:space="0" w:color="FFFFFF"/>
              <w:bottom w:val="single" w:sz="4" w:space="0" w:color="E5E7EB"/>
              <w:right w:val="none" w:sz="0" w:space="0" w:color="FFFFFF"/>
            </w:tcBorders>
            <w:tcMar>
              <w:top w:w="80" w:type="dxa"/>
              <w:left w:w="100" w:type="dxa"/>
              <w:bottom w:w="80" w:type="dxa"/>
              <w:right w:w="100" w:type="dxa"/>
            </w:tcMar>
          </w:tcPr>
          <w:p w:rsidR="00022C2A" w:rsidRDefault="00E23D7E">
            <w:r>
              <w:rPr>
                <w:b/>
                <w:bCs/>
                <w:sz w:val="19"/>
                <w:szCs w:val="19"/>
              </w:rPr>
              <w:t>Late surge</w:t>
            </w:r>
          </w:p>
        </w:tc>
        <w:tc>
          <w:tcPr>
            <w:tcW w:w="6438" w:type="dxa"/>
            <w:tcBorders>
              <w:top w:val="single" w:sz="4" w:space="0" w:color="E5E7EB"/>
              <w:left w:val="none" w:sz="0" w:space="0" w:color="FFFFFF"/>
              <w:bottom w:val="single" w:sz="4" w:space="0" w:color="E5E7EB"/>
              <w:right w:val="none" w:sz="0" w:space="0" w:color="FFFFFF"/>
            </w:tcBorders>
            <w:tcMar>
              <w:top w:w="80" w:type="dxa"/>
              <w:left w:w="100" w:type="dxa"/>
              <w:bottom w:w="80" w:type="dxa"/>
              <w:right w:w="100" w:type="dxa"/>
            </w:tcMar>
          </w:tcPr>
          <w:p w:rsidR="00022C2A" w:rsidRDefault="00E23D7E">
            <w:r>
              <w:rPr>
                <w:sz w:val="19"/>
                <w:szCs w:val="19"/>
              </w:rPr>
              <w:t>Half or more of the month's consumption landed in the last 7 days. Only read once the month is at least 14 days old.</w:t>
            </w:r>
          </w:p>
        </w:tc>
        <w:tc>
          <w:tcPr>
            <w:tcW w:w="1200" w:type="dxa"/>
            <w:tcBorders>
              <w:top w:val="single" w:sz="4" w:space="0" w:color="E5E7EB"/>
              <w:left w:val="none" w:sz="0" w:space="0" w:color="FFFFFF"/>
              <w:bottom w:val="single" w:sz="4" w:space="0" w:color="E5E7EB"/>
              <w:right w:val="none" w:sz="0" w:space="0" w:color="FFFFFF"/>
            </w:tcBorders>
            <w:tcMar>
              <w:top w:w="80" w:type="dxa"/>
              <w:left w:w="100" w:type="dxa"/>
              <w:bottom w:w="80" w:type="dxa"/>
              <w:right w:w="100" w:type="dxa"/>
            </w:tcMar>
          </w:tcPr>
          <w:p w:rsidR="00022C2A" w:rsidRDefault="00E23D7E">
            <w:pPr>
              <w:jc w:val="right"/>
            </w:pPr>
            <w:r>
              <w:rPr>
                <w:sz w:val="19"/>
                <w:szCs w:val="19"/>
              </w:rPr>
              <w:t>2</w:t>
            </w:r>
          </w:p>
        </w:tc>
      </w:tr>
      <w:tr w:rsidR="00022C2A">
        <w:tblPrEx>
          <w:tblCellMar>
            <w:top w:w="0" w:type="dxa"/>
            <w:bottom w:w="0" w:type="dxa"/>
          </w:tblCellMar>
        </w:tblPrEx>
        <w:tc>
          <w:tcPr>
            <w:tcW w:w="2000" w:type="dxa"/>
            <w:tcBorders>
              <w:top w:val="single" w:sz="4" w:space="0" w:color="E5E7EB"/>
              <w:left w:val="none" w:sz="0" w:space="0" w:color="FFFFFF"/>
              <w:bottom w:val="single" w:sz="4" w:space="0" w:color="E5E7EB"/>
              <w:right w:val="none" w:sz="0" w:space="0" w:color="FFFFFF"/>
            </w:tcBorders>
            <w:tcMar>
              <w:top w:w="80" w:type="dxa"/>
              <w:left w:w="100" w:type="dxa"/>
              <w:bottom w:w="80" w:type="dxa"/>
              <w:right w:w="100" w:type="dxa"/>
            </w:tcMar>
          </w:tcPr>
          <w:p w:rsidR="00022C2A" w:rsidRDefault="00E23D7E">
            <w:r>
              <w:rPr>
                <w:b/>
                <w:bCs/>
                <w:sz w:val="19"/>
                <w:szCs w:val="19"/>
              </w:rPr>
              <w:t>High held</w:t>
            </w:r>
          </w:p>
        </w:tc>
        <w:tc>
          <w:tcPr>
            <w:tcW w:w="6438" w:type="dxa"/>
            <w:tcBorders>
              <w:top w:val="single" w:sz="4" w:space="0" w:color="E5E7EB"/>
              <w:left w:val="none" w:sz="0" w:space="0" w:color="FFFFFF"/>
              <w:bottom w:val="single" w:sz="4" w:space="0" w:color="E5E7EB"/>
              <w:right w:val="none" w:sz="0" w:space="0" w:color="FFFFFF"/>
            </w:tcBorders>
            <w:tcMar>
              <w:top w:w="80" w:type="dxa"/>
              <w:left w:w="100" w:type="dxa"/>
              <w:bottom w:w="80" w:type="dxa"/>
              <w:right w:w="100" w:type="dxa"/>
            </w:tcMar>
          </w:tcPr>
          <w:p w:rsidR="00022C2A" w:rsidRDefault="00E23D7E">
            <w:r>
              <w:rPr>
                <w:sz w:val="19"/>
                <w:szCs w:val="19"/>
              </w:rPr>
              <w:t>Orders awaiting approval are holding 20% or more of the branch's budget (</w:t>
            </w:r>
            <w:proofErr w:type="spellStart"/>
            <w:r>
              <w:rPr>
                <w:sz w:val="19"/>
                <w:szCs w:val="19"/>
              </w:rPr>
              <w:t>Rs</w:t>
            </w:r>
            <w:proofErr w:type="spellEnd"/>
            <w:r>
              <w:rPr>
                <w:sz w:val="19"/>
                <w:szCs w:val="19"/>
              </w:rPr>
              <w:t xml:space="preserve"> 25,000 where the branch has no budget set).</w:t>
            </w:r>
          </w:p>
        </w:tc>
        <w:tc>
          <w:tcPr>
            <w:tcW w:w="1200" w:type="dxa"/>
            <w:tcBorders>
              <w:top w:val="single" w:sz="4" w:space="0" w:color="E5E7EB"/>
              <w:left w:val="none" w:sz="0" w:space="0" w:color="FFFFFF"/>
              <w:bottom w:val="single" w:sz="4" w:space="0" w:color="E5E7EB"/>
              <w:right w:val="none" w:sz="0" w:space="0" w:color="FFFFFF"/>
            </w:tcBorders>
            <w:tcMar>
              <w:top w:w="80" w:type="dxa"/>
              <w:left w:w="100" w:type="dxa"/>
              <w:bottom w:w="80" w:type="dxa"/>
              <w:right w:w="100" w:type="dxa"/>
            </w:tcMar>
          </w:tcPr>
          <w:p w:rsidR="00022C2A" w:rsidRDefault="00E23D7E">
            <w:pPr>
              <w:jc w:val="right"/>
            </w:pPr>
            <w:r>
              <w:rPr>
                <w:sz w:val="19"/>
                <w:szCs w:val="19"/>
              </w:rPr>
              <w:t>1</w:t>
            </w:r>
          </w:p>
        </w:tc>
      </w:tr>
      <w:tr w:rsidR="00022C2A">
        <w:tblPrEx>
          <w:tblCellMar>
            <w:top w:w="0" w:type="dxa"/>
            <w:bottom w:w="0" w:type="dxa"/>
          </w:tblCellMar>
        </w:tblPrEx>
        <w:tc>
          <w:tcPr>
            <w:tcW w:w="2000" w:type="dxa"/>
            <w:tcBorders>
              <w:top w:val="single" w:sz="4" w:space="0" w:color="E5E7EB"/>
              <w:left w:val="none" w:sz="0" w:space="0" w:color="FFFFFF"/>
              <w:bottom w:val="single" w:sz="4" w:space="0" w:color="E5E7EB"/>
              <w:right w:val="none" w:sz="0" w:space="0" w:color="FFFFFF"/>
            </w:tcBorders>
            <w:tcMar>
              <w:top w:w="80" w:type="dxa"/>
              <w:left w:w="100" w:type="dxa"/>
              <w:bottom w:w="80" w:type="dxa"/>
              <w:right w:w="100" w:type="dxa"/>
            </w:tcMar>
          </w:tcPr>
          <w:p w:rsidR="00022C2A" w:rsidRDefault="00E23D7E">
            <w:r>
              <w:rPr>
                <w:b/>
                <w:bCs/>
                <w:sz w:val="19"/>
                <w:szCs w:val="19"/>
              </w:rPr>
              <w:t>Rejected orders</w:t>
            </w:r>
          </w:p>
        </w:tc>
        <w:tc>
          <w:tcPr>
            <w:tcW w:w="6438" w:type="dxa"/>
            <w:tcBorders>
              <w:top w:val="single" w:sz="4" w:space="0" w:color="E5E7EB"/>
              <w:left w:val="none" w:sz="0" w:space="0" w:color="FFFFFF"/>
              <w:bottom w:val="single" w:sz="4" w:space="0" w:color="E5E7EB"/>
              <w:right w:val="none" w:sz="0" w:space="0" w:color="FFFFFF"/>
            </w:tcBorders>
            <w:tcMar>
              <w:top w:w="80" w:type="dxa"/>
              <w:left w:w="100" w:type="dxa"/>
              <w:bottom w:w="80" w:type="dxa"/>
              <w:right w:w="100" w:type="dxa"/>
            </w:tcMar>
          </w:tcPr>
          <w:p w:rsidR="00022C2A" w:rsidRDefault="00E23D7E">
            <w:r>
              <w:rPr>
                <w:sz w:val="19"/>
                <w:szCs w:val="19"/>
              </w:rPr>
              <w:t>Three or more orders rejected by an approver this month. Cancellations by the person themselves do not count.</w:t>
            </w:r>
          </w:p>
        </w:tc>
        <w:tc>
          <w:tcPr>
            <w:tcW w:w="1200" w:type="dxa"/>
            <w:tcBorders>
              <w:top w:val="single" w:sz="4" w:space="0" w:color="E5E7EB"/>
              <w:left w:val="none" w:sz="0" w:space="0" w:color="FFFFFF"/>
              <w:bottom w:val="single" w:sz="4" w:space="0" w:color="E5E7EB"/>
              <w:right w:val="none" w:sz="0" w:space="0" w:color="FFFFFF"/>
            </w:tcBorders>
            <w:tcMar>
              <w:top w:w="80" w:type="dxa"/>
              <w:left w:w="100" w:type="dxa"/>
              <w:bottom w:w="80" w:type="dxa"/>
              <w:right w:w="100" w:type="dxa"/>
            </w:tcMar>
          </w:tcPr>
          <w:p w:rsidR="00022C2A" w:rsidRDefault="00E23D7E">
            <w:pPr>
              <w:jc w:val="right"/>
            </w:pPr>
            <w:r>
              <w:rPr>
                <w:sz w:val="19"/>
                <w:szCs w:val="19"/>
              </w:rPr>
              <w:t>1</w:t>
            </w:r>
          </w:p>
        </w:tc>
      </w:tr>
    </w:tbl>
    <w:p w:rsidR="00022C2A" w:rsidRDefault="00E23D7E">
      <w:pPr>
        <w:spacing w:before="160" w:after="140"/>
      </w:pPr>
      <w:r>
        <w:rPr>
          <w:sz w:val="20"/>
          <w:szCs w:val="20"/>
        </w:rPr>
        <w:t>A si</w:t>
      </w:r>
      <w:r>
        <w:rPr>
          <w:sz w:val="20"/>
          <w:szCs w:val="20"/>
        </w:rPr>
        <w:t>ngle pattern is never enough on its own: +15% month-over-month, for example, only counts alongside something else. The list also states how many people were reviewed and sat below the line, so it is clear that the list is not everyone.</w:t>
      </w:r>
    </w:p>
    <w:p w:rsidR="00022C2A" w:rsidRDefault="00E23D7E">
      <w:r>
        <w:br w:type="page"/>
      </w:r>
    </w:p>
    <w:p w:rsidR="00022C2A" w:rsidRDefault="00E23D7E">
      <w:pPr>
        <w:pStyle w:val="Heading1"/>
      </w:pPr>
      <w:r>
        <w:lastRenderedPageBreak/>
        <w:t>The orders behind a row</w:t>
      </w:r>
    </w:p>
    <w:p w:rsidR="00022C2A" w:rsidRDefault="00E23D7E">
      <w:pPr>
        <w:spacing w:before="120" w:after="80"/>
        <w:jc w:val="center"/>
      </w:pPr>
      <w:r>
        <w:rPr>
          <w:noProof/>
        </w:rPr>
        <w:drawing>
          <wp:inline distT="0" distB="0" distL="0" distR="0">
            <wp:extent cx="6124575" cy="40290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24575" cy="4029075"/>
                    </a:xfrm>
                    <a:prstGeom prst="rect">
                      <a:avLst/>
                    </a:prstGeom>
                  </pic:spPr>
                </pic:pic>
              </a:graphicData>
            </a:graphic>
          </wp:inline>
        </w:drawing>
      </w:r>
    </w:p>
    <w:p w:rsidR="00022C2A" w:rsidRDefault="00E23D7E">
      <w:pPr>
        <w:spacing w:after="240"/>
      </w:pPr>
      <w:r>
        <w:rPr>
          <w:b/>
          <w:bCs/>
          <w:color w:val="6B7280"/>
          <w:sz w:val="18"/>
          <w:szCs w:val="18"/>
        </w:rPr>
        <w:t xml:space="preserve">Figure 3. </w:t>
      </w:r>
      <w:r>
        <w:rPr>
          <w:color w:val="6B7280"/>
          <w:sz w:val="18"/>
          <w:szCs w:val="18"/>
        </w:rPr>
        <w:t>Clicking a name opens the order lines for that person, at that branch, for the month: product, quantity, unit price, value, date and status. The note above states what the lines add up to — Spend plus Pending — and pending lines are marked, because they ho</w:t>
      </w:r>
      <w:r>
        <w:rPr>
          <w:color w:val="6B7280"/>
          <w:sz w:val="18"/>
          <w:szCs w:val="18"/>
        </w:rPr>
        <w:t>ld budget but are not yet spent. Nothing pending is counted as spent until it is approved.</w:t>
      </w:r>
    </w:p>
    <w:p w:rsidR="00022C2A" w:rsidRDefault="00E23D7E">
      <w:pPr>
        <w:pStyle w:val="Heading1"/>
      </w:pPr>
      <w:r>
        <w:t>Earlier months</w:t>
      </w:r>
    </w:p>
    <w:p w:rsidR="00022C2A" w:rsidRDefault="00E23D7E">
      <w:pPr>
        <w:spacing w:before="120" w:after="80"/>
        <w:jc w:val="center"/>
      </w:pPr>
      <w:r>
        <w:rPr>
          <w:noProof/>
        </w:rPr>
        <w:drawing>
          <wp:inline distT="0" distB="0" distL="0" distR="0">
            <wp:extent cx="6124575" cy="1714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24575" cy="1714500"/>
                    </a:xfrm>
                    <a:prstGeom prst="rect">
                      <a:avLst/>
                    </a:prstGeom>
                  </pic:spPr>
                </pic:pic>
              </a:graphicData>
            </a:graphic>
          </wp:inline>
        </w:drawing>
      </w:r>
    </w:p>
    <w:p w:rsidR="00022C2A" w:rsidRDefault="00E23D7E">
      <w:pPr>
        <w:spacing w:after="240"/>
      </w:pPr>
      <w:r>
        <w:rPr>
          <w:b/>
          <w:bCs/>
          <w:color w:val="6B7280"/>
          <w:sz w:val="18"/>
          <w:szCs w:val="18"/>
        </w:rPr>
        <w:t xml:space="preserve">Figure 4. </w:t>
      </w:r>
      <w:r>
        <w:rPr>
          <w:color w:val="6B7280"/>
          <w:sz w:val="18"/>
          <w:szCs w:val="18"/>
        </w:rPr>
        <w:t xml:space="preserve">The arrows move month by month, up to two years back. A completed month is compared whole against whole; the current month is compared to </w:t>
      </w:r>
      <w:r>
        <w:rPr>
          <w:color w:val="6B7280"/>
          <w:sz w:val="18"/>
          <w:szCs w:val="18"/>
        </w:rPr>
        <w:t xml:space="preserve">date, against the same days of the previous month. Here </w:t>
      </w:r>
      <w:proofErr w:type="spellStart"/>
      <w:r>
        <w:rPr>
          <w:color w:val="6B7280"/>
          <w:sz w:val="18"/>
          <w:szCs w:val="18"/>
        </w:rPr>
        <w:t>MoM</w:t>
      </w:r>
      <w:proofErr w:type="spellEnd"/>
      <w:r>
        <w:rPr>
          <w:color w:val="6B7280"/>
          <w:sz w:val="18"/>
          <w:szCs w:val="18"/>
        </w:rPr>
        <w:t xml:space="preserve"> shows a dash because there was no July activity to compare with — no baseline is shown as no baseline, never as zero.</w:t>
      </w:r>
    </w:p>
    <w:p w:rsidR="00022C2A" w:rsidRDefault="00E23D7E">
      <w:pPr>
        <w:spacing w:before="120" w:after="80"/>
        <w:jc w:val="center"/>
      </w:pPr>
      <w:r>
        <w:rPr>
          <w:noProof/>
        </w:rPr>
        <w:lastRenderedPageBreak/>
        <w:drawing>
          <wp:inline distT="0" distB="0" distL="0" distR="0">
            <wp:extent cx="6124575" cy="17621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24575" cy="1762125"/>
                    </a:xfrm>
                    <a:prstGeom prst="rect">
                      <a:avLst/>
                    </a:prstGeom>
                  </pic:spPr>
                </pic:pic>
              </a:graphicData>
            </a:graphic>
          </wp:inline>
        </w:drawing>
      </w:r>
    </w:p>
    <w:p w:rsidR="00022C2A" w:rsidRDefault="00E23D7E">
      <w:pPr>
        <w:spacing w:after="240"/>
      </w:pPr>
      <w:r>
        <w:rPr>
          <w:b/>
          <w:bCs/>
          <w:color w:val="6B7280"/>
          <w:sz w:val="18"/>
          <w:szCs w:val="18"/>
        </w:rPr>
        <w:t xml:space="preserve">Figure 5. </w:t>
      </w:r>
      <w:r>
        <w:rPr>
          <w:color w:val="6B7280"/>
          <w:sz w:val="18"/>
          <w:szCs w:val="18"/>
        </w:rPr>
        <w:t>When nobody reaches the review score the panel says so, and says h</w:t>
      </w:r>
      <w:r>
        <w:rPr>
          <w:color w:val="6B7280"/>
          <w:sz w:val="18"/>
          <w:szCs w:val="18"/>
        </w:rPr>
        <w:t>ow many people consumed budget without reaching it.</w:t>
      </w:r>
    </w:p>
    <w:p w:rsidR="00022C2A" w:rsidRDefault="00E23D7E">
      <w:pPr>
        <w:pStyle w:val="Heading1"/>
      </w:pPr>
      <w:r>
        <w:t>What it deliberately does not do</w:t>
      </w:r>
    </w:p>
    <w:p w:rsidR="00022C2A" w:rsidRDefault="00E23D7E">
      <w:pPr>
        <w:pStyle w:val="ListParagraph"/>
        <w:numPr>
          <w:ilvl w:val="0"/>
          <w:numId w:val="2"/>
        </w:numPr>
        <w:spacing w:after="80"/>
      </w:pPr>
      <w:r>
        <w:t>It does not block, hold or approve anything. Approval stays with the people who approve today.</w:t>
      </w:r>
    </w:p>
    <w:p w:rsidR="00022C2A" w:rsidRDefault="00E23D7E">
      <w:pPr>
        <w:pStyle w:val="ListParagraph"/>
        <w:numPr>
          <w:ilvl w:val="0"/>
          <w:numId w:val="2"/>
        </w:numPr>
        <w:spacing w:after="80"/>
      </w:pPr>
      <w:r>
        <w:t>It does not claim intent. The list is a place to start a conversation, and t</w:t>
      </w:r>
      <w:r>
        <w:t>he wording on the panel says so.</w:t>
      </w:r>
    </w:p>
    <w:p w:rsidR="00022C2A" w:rsidRDefault="00E23D7E">
      <w:pPr>
        <w:pStyle w:val="ListParagraph"/>
        <w:numPr>
          <w:ilvl w:val="0"/>
          <w:numId w:val="2"/>
        </w:numPr>
        <w:spacing w:after="80"/>
      </w:pPr>
      <w:r>
        <w:t xml:space="preserve">It does not add up quantities across different units — </w:t>
      </w:r>
      <w:proofErr w:type="spellStart"/>
      <w:r>
        <w:t>litres</w:t>
      </w:r>
      <w:proofErr w:type="spellEnd"/>
      <w:r>
        <w:t xml:space="preserve"> and reams are not the same thing — so volume is examined in the order lines, not as a single number.</w:t>
      </w:r>
    </w:p>
    <w:p w:rsidR="00022C2A" w:rsidRDefault="00E23D7E">
      <w:pPr>
        <w:pStyle w:val="ListParagraph"/>
        <w:numPr>
          <w:ilvl w:val="0"/>
          <w:numId w:val="2"/>
        </w:numPr>
        <w:spacing w:after="80"/>
      </w:pPr>
      <w:r>
        <w:t xml:space="preserve">Category, product and requester filters do not apply to it; </w:t>
      </w:r>
      <w:r>
        <w:t>the question is about a branch's whole budget, so only the organization, group and branch filters narrow it.</w:t>
      </w:r>
    </w:p>
    <w:p w:rsidR="00022C2A" w:rsidRDefault="00E23D7E">
      <w:pPr>
        <w:pStyle w:val="Heading1"/>
      </w:pPr>
      <w:r>
        <w:t>What can come next</w:t>
      </w:r>
    </w:p>
    <w:p w:rsidR="00022C2A" w:rsidRDefault="00E23D7E">
      <w:pPr>
        <w:pStyle w:val="ListParagraph"/>
        <w:numPr>
          <w:ilvl w:val="0"/>
          <w:numId w:val="2"/>
        </w:numPr>
        <w:spacing w:after="80"/>
      </w:pPr>
      <w:r>
        <w:t>A Branch Admin view of their own branch, with prices hidden where the organization hides them.</w:t>
      </w:r>
    </w:p>
    <w:p w:rsidR="00022C2A" w:rsidRDefault="00E23D7E">
      <w:pPr>
        <w:pStyle w:val="ListParagraph"/>
        <w:numPr>
          <w:ilvl w:val="0"/>
          <w:numId w:val="2"/>
        </w:numPr>
        <w:spacing w:after="80"/>
      </w:pPr>
      <w:r>
        <w:t>A branch view: branches where one</w:t>
      </w:r>
      <w:r>
        <w:t xml:space="preserve"> or two people account for most of the spend, and how many days of budget remain at the current pace.</w:t>
      </w:r>
    </w:p>
    <w:p w:rsidR="00022C2A" w:rsidRDefault="00E23D7E">
      <w:pPr>
        <w:pStyle w:val="ListParagraph"/>
        <w:numPr>
          <w:ilvl w:val="0"/>
          <w:numId w:val="2"/>
        </w:numPr>
        <w:spacing w:after="80"/>
      </w:pPr>
      <w:r>
        <w:t>Two further patterns: the same product ordered repeatedly, and a new order placed soon after a rejection.</w:t>
      </w:r>
    </w:p>
    <w:p w:rsidR="00022C2A" w:rsidRDefault="00E23D7E">
      <w:pPr>
        <w:pStyle w:val="ListParagraph"/>
        <w:numPr>
          <w:ilvl w:val="0"/>
          <w:numId w:val="2"/>
        </w:numPr>
        <w:spacing w:after="80"/>
      </w:pPr>
      <w:r>
        <w:t>Only after the list has been used in real review</w:t>
      </w:r>
      <w:r>
        <w:t>s: warnings or limits at approval time, with a required reason and an audit trail. That is a product decision, not a technical one.</w:t>
      </w:r>
    </w:p>
    <w:p w:rsidR="00022C2A" w:rsidRDefault="00E23D7E">
      <w:pPr>
        <w:spacing w:before="360"/>
      </w:pPr>
      <w:r>
        <w:rPr>
          <w:i/>
          <w:iCs/>
          <w:color w:val="6B7280"/>
          <w:sz w:val="18"/>
          <w:szCs w:val="18"/>
        </w:rPr>
        <w:t xml:space="preserve">The screenshots in this document come from a demonstration company with fictitious branches, people and orders, created for </w:t>
      </w:r>
      <w:r>
        <w:rPr>
          <w:i/>
          <w:iCs/>
          <w:color w:val="6B7280"/>
          <w:sz w:val="18"/>
          <w:szCs w:val="18"/>
        </w:rPr>
        <w:t>this walkthrough.</w:t>
      </w:r>
      <w:r w:rsidR="00F86ECF">
        <w:rPr>
          <w:i/>
          <w:iCs/>
          <w:color w:val="6B7280"/>
          <w:sz w:val="18"/>
          <w:szCs w:val="18"/>
        </w:rPr>
        <w:br/>
      </w:r>
      <w:r w:rsidR="00F86ECF">
        <w:rPr>
          <w:i/>
          <w:iCs/>
          <w:color w:val="6B7280"/>
          <w:sz w:val="18"/>
          <w:szCs w:val="18"/>
        </w:rPr>
        <w:br/>
      </w:r>
    </w:p>
    <w:sectPr w:rsidR="00022C2A">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4425FE"/>
    <w:multiLevelType w:val="hybridMultilevel"/>
    <w:tmpl w:val="86004668"/>
    <w:lvl w:ilvl="0" w:tplc="5C28E51E">
      <w:start w:val="1"/>
      <w:numFmt w:val="bullet"/>
      <w:lvlText w:val="●"/>
      <w:lvlJc w:val="left"/>
      <w:pPr>
        <w:ind w:left="720" w:hanging="360"/>
      </w:pPr>
    </w:lvl>
    <w:lvl w:ilvl="1" w:tplc="3328F92A">
      <w:start w:val="1"/>
      <w:numFmt w:val="bullet"/>
      <w:lvlText w:val="○"/>
      <w:lvlJc w:val="left"/>
      <w:pPr>
        <w:ind w:left="1440" w:hanging="360"/>
      </w:pPr>
    </w:lvl>
    <w:lvl w:ilvl="2" w:tplc="89FE4CC8">
      <w:start w:val="1"/>
      <w:numFmt w:val="bullet"/>
      <w:lvlText w:val="■"/>
      <w:lvlJc w:val="left"/>
      <w:pPr>
        <w:ind w:left="2160" w:hanging="360"/>
      </w:pPr>
    </w:lvl>
    <w:lvl w:ilvl="3" w:tplc="21B8F5CC">
      <w:start w:val="1"/>
      <w:numFmt w:val="bullet"/>
      <w:lvlText w:val="●"/>
      <w:lvlJc w:val="left"/>
      <w:pPr>
        <w:ind w:left="2880" w:hanging="360"/>
      </w:pPr>
    </w:lvl>
    <w:lvl w:ilvl="4" w:tplc="1E2CEC1A">
      <w:start w:val="1"/>
      <w:numFmt w:val="bullet"/>
      <w:lvlText w:val="○"/>
      <w:lvlJc w:val="left"/>
      <w:pPr>
        <w:ind w:left="3600" w:hanging="360"/>
      </w:pPr>
    </w:lvl>
    <w:lvl w:ilvl="5" w:tplc="4CD0512A">
      <w:start w:val="1"/>
      <w:numFmt w:val="bullet"/>
      <w:lvlText w:val="■"/>
      <w:lvlJc w:val="left"/>
      <w:pPr>
        <w:ind w:left="4320" w:hanging="360"/>
      </w:pPr>
    </w:lvl>
    <w:lvl w:ilvl="6" w:tplc="21C879DC">
      <w:start w:val="1"/>
      <w:numFmt w:val="bullet"/>
      <w:lvlText w:val="●"/>
      <w:lvlJc w:val="left"/>
      <w:pPr>
        <w:ind w:left="5040" w:hanging="360"/>
      </w:pPr>
    </w:lvl>
    <w:lvl w:ilvl="7" w:tplc="6E2E55A0">
      <w:start w:val="1"/>
      <w:numFmt w:val="bullet"/>
      <w:lvlText w:val="●"/>
      <w:lvlJc w:val="left"/>
      <w:pPr>
        <w:ind w:left="5760" w:hanging="360"/>
      </w:pPr>
    </w:lvl>
    <w:lvl w:ilvl="8" w:tplc="2D3839BE">
      <w:start w:val="1"/>
      <w:numFmt w:val="bullet"/>
      <w:lvlText w:val="●"/>
      <w:lvlJc w:val="left"/>
      <w:pPr>
        <w:ind w:left="6480" w:hanging="360"/>
      </w:pPr>
    </w:lvl>
  </w:abstractNum>
  <w:abstractNum w:abstractNumId="1" w15:restartNumberingAfterBreak="0">
    <w:nsid w:val="552B0B7F"/>
    <w:multiLevelType w:val="hybridMultilevel"/>
    <w:tmpl w:val="74681AB2"/>
    <w:lvl w:ilvl="0" w:tplc="96641E4E">
      <w:start w:val="1"/>
      <w:numFmt w:val="bullet"/>
      <w:lvlText w:val="•"/>
      <w:lvlJc w:val="left"/>
      <w:pPr>
        <w:ind w:left="540" w:hanging="270"/>
      </w:pPr>
    </w:lvl>
    <w:lvl w:ilvl="1" w:tplc="D85CE67C">
      <w:numFmt w:val="decimal"/>
      <w:lvlText w:val=""/>
      <w:lvlJc w:val="left"/>
    </w:lvl>
    <w:lvl w:ilvl="2" w:tplc="C276B9B0">
      <w:numFmt w:val="decimal"/>
      <w:lvlText w:val=""/>
      <w:lvlJc w:val="left"/>
    </w:lvl>
    <w:lvl w:ilvl="3" w:tplc="10808496">
      <w:numFmt w:val="decimal"/>
      <w:lvlText w:val=""/>
      <w:lvlJc w:val="left"/>
    </w:lvl>
    <w:lvl w:ilvl="4" w:tplc="E6E20C30">
      <w:numFmt w:val="decimal"/>
      <w:lvlText w:val=""/>
      <w:lvlJc w:val="left"/>
    </w:lvl>
    <w:lvl w:ilvl="5" w:tplc="FFA278DA">
      <w:numFmt w:val="decimal"/>
      <w:lvlText w:val=""/>
      <w:lvlJc w:val="left"/>
    </w:lvl>
    <w:lvl w:ilvl="6" w:tplc="A030FB8C">
      <w:numFmt w:val="decimal"/>
      <w:lvlText w:val=""/>
      <w:lvlJc w:val="left"/>
    </w:lvl>
    <w:lvl w:ilvl="7" w:tplc="AC8E568A">
      <w:numFmt w:val="decimal"/>
      <w:lvlText w:val=""/>
      <w:lvlJc w:val="left"/>
    </w:lvl>
    <w:lvl w:ilvl="8" w:tplc="5184858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2C2A"/>
    <w:rsid w:val="00022C2A"/>
    <w:rsid w:val="00E23D7E"/>
    <w:rsid w:val="00F86E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E5931"/>
  <w15:docId w15:val="{7E3953C7-4604-4A3E-A519-0544D3B39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1F2937"/>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20"/>
      <w:outlineLvl w:val="0"/>
    </w:pPr>
    <w:rPr>
      <w:b/>
      <w:bCs/>
      <w:sz w:val="30"/>
      <w:szCs w:val="30"/>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pPr>
      <w:spacing w:after="80"/>
    </w:pPr>
    <w:rPr>
      <w:b/>
      <w:bCs/>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1474</TotalTime>
  <Pages>4</Pages>
  <Words>739</Words>
  <Characters>4213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Users to review — budget-burn watchlist</vt:lpstr>
    </vt:vector>
  </TitlesOfParts>
  <Company/>
  <LinksUpToDate>false</LinksUpToDate>
  <CharactersWithSpaces>4943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Users to review — budget-burn watchlist</dc:title>
  <dc:creator>OneFlowe</dc:creator>
  <cp:lastModifiedBy>ESHOP</cp:lastModifiedBy>
  <cp:revision>2</cp:revision>
  <dcterms:created xsi:type="dcterms:W3CDTF">2026-09-20T17:11:00Z</dcterms:created>
  <dcterms:modified xsi:type="dcterms:W3CDTF">2026-09-22T07:25:00Z</dcterms:modified>
</cp:coreProperties>
</file>