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Principal</w:t>
      </w:r>
      <w:r>
        <w:t xml:space="preserve"> </w:t>
      </w:r>
      <w:r>
        <w:t xml:space="preserve">Investigator</w:t>
      </w:r>
      <w:r>
        <w:t xml:space="preserve"> </w:t>
      </w:r>
      <w:r>
        <w:t xml:space="preserve">-</w:t>
      </w:r>
      <w:r>
        <w:t xml:space="preserve"> </w:t>
      </w:r>
      <w:r>
        <w:t xml:space="preserve">April</w:t>
      </w:r>
      <w:r>
        <w:t xml:space="preserve"> </w:t>
      </w:r>
      <w:r>
        <w:t xml:space="preserve">Clyburne-Sherin,</w:t>
      </w:r>
      <w:r>
        <w:t xml:space="preserve"> </w:t>
      </w:r>
      <w:r>
        <w:t xml:space="preserve">Code</w:t>
      </w:r>
      <w:r>
        <w:t xml:space="preserve"> </w:t>
      </w:r>
      <w:r>
        <w:t xml:space="preserve">Ocean</w:t>
      </w:r>
    </w:p>
    <w:p>
      <w:pPr>
        <w:pStyle w:val="Date"/>
      </w:pPr>
      <w:r>
        <w:t xml:space="preserve">August</w:t>
      </w:r>
      <w:r>
        <w:t xml:space="preserve"> </w:t>
      </w:r>
      <w:r>
        <w:t xml:space="preserve">6,</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FirstParagraph"/>
      </w:pPr>
      <w:r>
        <w:rPr>
          <w:b/>
        </w:rPr>
        <w:t xml:space="preserve">Administrative Data</w:t>
      </w:r>
    </w:p>
    <w:p>
      <w:pPr>
        <w:pStyle w:val="BodyText"/>
      </w:pPr>
      <w:r>
        <w:t xml:space="preserve">ID</w:t>
      </w:r>
    </w:p>
    <w:p>
      <w:pPr>
        <w:pStyle w:val="BodyText"/>
      </w:pPr>
      <w:r>
        <w:rPr>
          <w:i/>
        </w:rPr>
        <w:t xml:space="preserve">Not Applicable</w:t>
      </w:r>
    </w:p>
    <w:p>
      <w:pPr>
        <w:pStyle w:val="BodyText"/>
      </w:pPr>
      <w:r>
        <w:t xml:space="preserve">Funder</w:t>
      </w:r>
    </w:p>
    <w:p>
      <w:pPr>
        <w:pStyle w:val="BodyText"/>
      </w:pPr>
      <w:r>
        <w:t xml:space="preserve">This research is being submitted for funding to the</w:t>
      </w:r>
      <w:r>
        <w:t xml:space="preserve"> </w:t>
      </w:r>
      <w:hyperlink r:id="rId21">
        <w:r>
          <w:rPr>
            <w:rStyle w:val="Hyperlink"/>
          </w:rPr>
          <w:t xml:space="preserve">J. Bohannon Foundation</w:t>
        </w:r>
      </w:hyperlink>
      <w:r>
        <w:t xml:space="preserve">.</w:t>
      </w:r>
    </w:p>
    <w:p>
      <w:pPr>
        <w:pStyle w:val="BodyText"/>
      </w:pPr>
      <w:r>
        <w:t xml:space="preserve">Grant Reference Number</w:t>
      </w:r>
    </w:p>
    <w:p>
      <w:pPr>
        <w:pStyle w:val="BodyText"/>
      </w:pPr>
      <w:r>
        <w:rPr>
          <w:i/>
        </w:rPr>
        <w:t xml:space="preserve">Not Applicable (Proposal in preparation)</w:t>
      </w:r>
    </w:p>
    <w:p>
      <w:pPr>
        <w:pStyle w:val="BodyText"/>
      </w:pPr>
      <w:r>
        <w:rPr>
          <w:b/>
        </w:rPr>
        <w:t xml:space="preserve">Project Name</w:t>
      </w:r>
    </w:p>
    <w:p>
      <w:pPr>
        <w:pStyle w:val="BodyText"/>
      </w:pPr>
      <w:r>
        <w:rPr>
          <w:i/>
        </w:rPr>
        <w:t xml:space="preserve">Do Reputable Open Access Journals Require Open Data Sharing?</w:t>
      </w:r>
    </w:p>
    <w:p>
      <w:pPr>
        <w:pStyle w:val="BodyText"/>
      </w:pPr>
      <w:r>
        <w:rPr>
          <w:b/>
        </w:rPr>
        <w:t xml:space="preserve">Project Description</w:t>
      </w:r>
    </w:p>
    <w:p>
      <w:pPr>
        <w:pStyle w:val="BodyText"/>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 Another question to ponder: is it time for a H</w:t>
      </w:r>
      <w:r>
        <w:rPr>
          <w:vertAlign w:val="subscript"/>
        </w:rPr>
        <w:t xml:space="preserve">2</w:t>
      </w:r>
      <w:r>
        <w:t xml:space="preserve">O break?</w:t>
      </w:r>
    </w:p>
    <w:p>
      <w:pPr>
        <w:pStyle w:val="BodyText"/>
      </w:pPr>
      <w:r>
        <w:t xml:space="preserve">According to the</w:t>
      </w:r>
      <w:r>
        <w:t xml:space="preserve"> </w:t>
      </w:r>
      <w:hyperlink r:id="rId22">
        <w:r>
          <w:rPr>
            <w:rStyle w:val="Hyperlink"/>
          </w:rPr>
          <w:t xml:space="preserve">Research Data Alliance (RDA) 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w:t>
      </w:r>
      <w:r>
        <w:t xml:space="preserve"> </w:t>
      </w:r>
      <w:r>
        <w:t xml:space="preserve">standardisation and the wider adoption of data sharing policies.</w:t>
      </w:r>
      <w:r>
        <w:t xml:space="preserve">”</w:t>
      </w:r>
    </w:p>
    <w:p>
      <w:pPr>
        <w:pStyle w:val="FirstParagraph"/>
      </w:pPr>
      <w:r>
        <w:t xml:space="preserve">This study investigates whether the most reputable Open Access journals have</w:t>
      </w:r>
      <w:r>
        <w:br w:type="textWrapping"/>
      </w:r>
      <w:r>
        <w:t xml:space="preserve">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w:t>
      </w:r>
      <w:r>
        <w:t xml:space="preserve"> </w:t>
      </w:r>
      <w:r>
        <w:rPr>
          <w:rStyle w:val="FootnoteReference"/>
        </w:rPr>
        <w:footnoteReference w:id="23"/>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w:t>
      </w:r>
      <w:r>
        <w:t xml:space="preserve"> </w:t>
      </w:r>
      <w:r>
        <w:rPr>
          <w:i/>
        </w:rPr>
        <w:t xml:space="preserve">Directory of Open Access Journals</w:t>
      </w:r>
      <w:r>
        <w:t xml:space="preserve">,</w:t>
      </w:r>
      <w:r>
        <w:t xml:space="preserve"> </w:t>
      </w:r>
      <w:hyperlink r:id="rId24">
        <w:r>
          <w:rPr>
            <w:rStyle w:val="Hyperlink"/>
          </w:rPr>
          <w:t xml:space="preserve">DOAJ</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25"/>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t xml:space="preserve">DOAJ Seal 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26"/>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BodyText"/>
      </w:pPr>
      <w:r>
        <w:rPr>
          <w:b/>
        </w:rPr>
        <w:t xml:space="preserve">Researcher</w:t>
      </w:r>
    </w:p>
    <w:p>
      <w:pPr>
        <w:pStyle w:val="BodyText"/>
      </w:pPr>
      <w:r>
        <w:t xml:space="preserve">Firstname Lastname, Principal Investigator, Institution</w:t>
      </w:r>
    </w:p>
    <w:p>
      <w:pPr>
        <w:pStyle w:val="BodyText"/>
      </w:pPr>
      <w:r>
        <w:t xml:space="preserve">Researcher ID</w:t>
      </w:r>
    </w:p>
    <w:p>
      <w:pPr>
        <w:pStyle w:val="BodyText"/>
      </w:pPr>
      <w:r>
        <w:t xml:space="preserve">ORCID: your ORCID number</w:t>
      </w:r>
    </w:p>
    <w:p>
      <w:pPr>
        <w:pStyle w:val="BodyText"/>
      </w:pPr>
      <w:r>
        <w:t xml:space="preserve">Date of First Version</w:t>
      </w:r>
    </w:p>
    <w:p>
      <w:pPr>
        <w:pStyle w:val="BodyText"/>
      </w:pPr>
      <w:r>
        <w:t xml:space="preserve">Date of Last Update</w:t>
      </w:r>
    </w:p>
    <w:p>
      <w:pPr>
        <w:pStyle w:val="BodyText"/>
      </w:pPr>
      <w:r>
        <w:rPr>
          <w:b/>
        </w:rPr>
        <w:t xml:space="preserve">Related Policies</w:t>
      </w:r>
    </w:p>
    <w:p>
      <w:pPr>
        <w:pStyle w:val="Compact"/>
        <w:numPr>
          <w:numId w:val="1001"/>
          <w:ilvl w:val="0"/>
        </w:numPr>
      </w:pPr>
      <w:r>
        <w:t xml:space="preserve">All original data, code, or reports produced as part of this project are owned by Trieste Polytechnic Institute per its institutional intellectual property policy.</w:t>
      </w:r>
    </w:p>
    <w:p>
      <w:pPr>
        <w:pStyle w:val="Compact"/>
        <w:numPr>
          <w:numId w:val="1002"/>
          <w:ilvl w:val="1"/>
        </w:numPr>
      </w:pPr>
      <w:r>
        <w:t xml:space="preserve">A sub-list.</w:t>
      </w:r>
    </w:p>
    <w:p>
      <w:pPr>
        <w:pStyle w:val="Compact"/>
        <w:numPr>
          <w:numId w:val="1002"/>
          <w:ilvl w:val="1"/>
        </w:numPr>
      </w:pPr>
      <w:r>
        <w:t xml:space="preserve">Another sub-list.</w:t>
      </w:r>
    </w:p>
    <w:p>
      <w:pPr>
        <w:pStyle w:val="Compact"/>
        <w:numPr>
          <w:numId w:val="1002"/>
          <w:ilvl w:val="1"/>
        </w:numPr>
      </w:pPr>
      <w:r>
        <w:t xml:space="preserve">What another sub-list!?!</w:t>
      </w:r>
    </w:p>
    <w:p>
      <w:pPr>
        <w:pStyle w:val="Compact"/>
        <w:numPr>
          <w:numId w:val="1001"/>
          <w:ilvl w:val="0"/>
        </w:numPr>
      </w:pPr>
      <w:r>
        <w:t xml:space="preserve">The J. Bohannan Foundation adheres to the open access and data sharing policies of the</w:t>
      </w:r>
      <w:r>
        <w:t xml:space="preserve"> </w:t>
      </w:r>
      <w:hyperlink r:id="rId28">
        <w:r>
          <w:rPr>
            <w:rStyle w:val="Hyperlink"/>
          </w:rPr>
          <w:t xml:space="preserve">Gates Foundation</w:t>
        </w:r>
      </w:hyperlink>
    </w:p>
    <w:p>
      <w:r>
        <w:pict>
          <v:rect style="width:0;height:1.5pt" o:hralign="center" o:hrstd="t" o:hr="t"/>
        </w:pict>
      </w:r>
    </w:p>
    <w:p>
      <w:pPr>
        <w:pStyle w:val="Heading1"/>
      </w:pPr>
      <w:bookmarkStart w:id="29" w:name="data-collection"/>
      <w:bookmarkEnd w:id="29"/>
      <w:r>
        <w:t xml:space="preserve">Data Collection</w:t>
      </w:r>
    </w:p>
    <w:p>
      <w:pPr>
        <w:pStyle w:val="Heading2"/>
      </w:pPr>
      <w:bookmarkStart w:id="30" w:name="existing-data-being-reused"/>
      <w:bookmarkEnd w:id="30"/>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 csv file download from the</w:t>
      </w:r>
      <w:r>
        <w:t xml:space="preserve"> </w:t>
      </w:r>
      <w:hyperlink r:id="rId31">
        <w:r>
          <w:rPr>
            <w:rStyle w:val="Hyperlink"/>
          </w:rPr>
          <w:t xml:space="preserve">DOAJ website</w:t>
        </w:r>
      </w:hyperlink>
      <w:r>
        <w:t xml:space="preserve">. The csv file is updated every 30 minutes.</w:t>
      </w:r>
    </w:p>
    <w:p>
      <w:pPr>
        <w:pStyle w:val="BodyText"/>
      </w:pPr>
      <w:r>
        <w:t xml:space="preserve">This data will be read into the open source tool OpenRefine openrefine.org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from OpenRefine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2" w:name="data-being-collected"/>
      <w:bookmarkEnd w:id="32"/>
      <w:r>
        <w:t xml:space="preserve">Data being collected</w:t>
      </w:r>
    </w:p>
    <w:p>
      <w:pPr>
        <w:pStyle w:val="FirstParagraph"/>
      </w:pPr>
      <w:r>
        <w:t xml:space="preserve">The doaj_seal.csv data set currently includes over 1000 reputable open access journals that we will investigate in this study. The</w:t>
      </w:r>
      <w:r>
        <w:t xml:space="preserve"> </w:t>
      </w:r>
      <w:r>
        <w:rPr>
          <w:rStyle w:val="VerbatimChar"/>
        </w:rPr>
        <w:t xml:space="preserve">doaj_seal.csv</w:t>
      </w:r>
      <w:r>
        <w:t xml:space="preserve"> </w:t>
      </w:r>
      <w:r>
        <w:t xml:space="preserve">data set will be copied and enhanced with additional columns, resulting in the processed data 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BodyText"/>
      </w:pPr>
      <w:r>
        <w:rPr>
          <w:b/>
        </w:rPr>
        <w:t xml:space="preserve">‘</w:t>
      </w:r>
      <w:r>
        <w:rPr>
          <w:b/>
        </w:rPr>
        <w:t xml:space="preserve">Data Policy</w:t>
      </w:r>
      <w:r>
        <w:rPr>
          <w:b/>
        </w:rPr>
        <w:t xml:space="preserve">’</w:t>
      </w:r>
      <w:r>
        <w:rPr>
          <w:b/>
        </w:rPr>
        <w:t xml:space="preserve"> </w:t>
      </w:r>
      <w:r>
        <w:rPr>
          <w:b/>
        </w:rPr>
        <w:t xml:space="preserve">(Boolean)</w:t>
      </w:r>
    </w:p>
    <w:p>
      <w:pPr>
        <w:pStyle w:val="Compact"/>
        <w:numPr>
          <w:numId w:val="1003"/>
          <w:ilvl w:val="0"/>
        </w:numPr>
      </w:pPr>
      <w:r>
        <w:t xml:space="preserve">Yes</w:t>
      </w:r>
    </w:p>
    <w:p>
      <w:pPr>
        <w:pStyle w:val="Compact"/>
        <w:numPr>
          <w:numId w:val="1003"/>
          <w:ilvl w:val="0"/>
        </w:numPr>
      </w:pPr>
      <w:r>
        <w:t xml:space="preserve">No</w:t>
      </w:r>
    </w:p>
    <w:p>
      <w:pPr>
        <w:pStyle w:val="FirstParagraph"/>
      </w:pPr>
      <w:r>
        <w:rPr>
          <w:b/>
        </w:rPr>
        <w:t xml:space="preserve">’Data Sharing Policy’ (Factor, 6 levels)</w:t>
      </w:r>
    </w:p>
    <w:p>
      <w:pPr>
        <w:pStyle w:val="Compact"/>
        <w:numPr>
          <w:numId w:val="1004"/>
          <w:ilvl w:val="0"/>
        </w:numPr>
      </w:pPr>
      <w:r>
        <w:t xml:space="preserve">No mention</w:t>
      </w:r>
    </w:p>
    <w:p>
      <w:pPr>
        <w:pStyle w:val="Compact"/>
        <w:numPr>
          <w:numId w:val="1004"/>
          <w:ilvl w:val="0"/>
        </w:numPr>
      </w:pPr>
      <w:r>
        <w:t xml:space="preserve">Implied</w:t>
      </w:r>
    </w:p>
    <w:p>
      <w:pPr>
        <w:pStyle w:val="Compact"/>
        <w:numPr>
          <w:numId w:val="1004"/>
          <w:ilvl w:val="0"/>
        </w:numPr>
      </w:pPr>
      <w:r>
        <w:t xml:space="preserve">Mentioned</w:t>
      </w:r>
    </w:p>
    <w:p>
      <w:pPr>
        <w:pStyle w:val="Compact"/>
        <w:numPr>
          <w:numId w:val="1004"/>
          <w:ilvl w:val="0"/>
        </w:numPr>
      </w:pPr>
      <w:r>
        <w:t xml:space="preserve">Explicitly encouraged</w:t>
      </w:r>
    </w:p>
    <w:p>
      <w:pPr>
        <w:pStyle w:val="Compact"/>
        <w:numPr>
          <w:numId w:val="1004"/>
          <w:ilvl w:val="0"/>
        </w:numPr>
      </w:pPr>
      <w:r>
        <w:t xml:space="preserve">Required, but not explicitly tied to editorial decisions</w:t>
      </w:r>
    </w:p>
    <w:p>
      <w:pPr>
        <w:pStyle w:val="Compact"/>
        <w:numPr>
          <w:numId w:val="1004"/>
          <w:ilvl w:val="0"/>
        </w:numPr>
      </w:pPr>
      <w:r>
        <w:t xml:space="preserve">Required as a condition of publication</w:t>
      </w:r>
    </w:p>
    <w:p>
      <w:pPr>
        <w:pStyle w:val="FirstParagraph"/>
      </w:pPr>
      <w:r>
        <w:rPr>
          <w:b/>
        </w:rPr>
        <w:t xml:space="preserve">‘</w:t>
      </w:r>
      <w:r>
        <w:rPr>
          <w:b/>
        </w:rPr>
        <w:t xml:space="preserve">Data Citation Policy</w:t>
      </w:r>
      <w:r>
        <w:rPr>
          <w:b/>
        </w:rPr>
        <w:t xml:space="preserve">’</w:t>
      </w:r>
      <w:r>
        <w:rPr>
          <w:b/>
        </w:rPr>
        <w:t xml:space="preserve"> </w:t>
      </w:r>
      <w:r>
        <w:rPr>
          <w:b/>
        </w:rPr>
        <w:t xml:space="preserve">(Factor, 3 levels)</w:t>
      </w:r>
    </w:p>
    <w:p>
      <w:pPr>
        <w:pStyle w:val="Compact"/>
        <w:numPr>
          <w:numId w:val="1005"/>
          <w:ilvl w:val="0"/>
        </w:numPr>
      </w:pPr>
      <w:r>
        <w:t xml:space="preserve">No mention</w:t>
      </w:r>
    </w:p>
    <w:p>
      <w:pPr>
        <w:pStyle w:val="Compact"/>
        <w:numPr>
          <w:numId w:val="1005"/>
          <w:ilvl w:val="0"/>
        </w:numPr>
      </w:pPr>
      <w:r>
        <w:t xml:space="preserve">Implied</w:t>
      </w:r>
    </w:p>
    <w:p>
      <w:pPr>
        <w:pStyle w:val="Compact"/>
        <w:numPr>
          <w:numId w:val="1005"/>
          <w:ilvl w:val="0"/>
        </w:numPr>
      </w:pPr>
      <w:r>
        <w:t xml:space="preserve">Explicitly encouraged</w:t>
      </w:r>
    </w:p>
    <w:p>
      <w:pPr>
        <w:pStyle w:val="FirstParagraph"/>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2"/>
      </w:pPr>
      <w:bookmarkStart w:id="33" w:name="expected-outputs-of-the-project"/>
      <w:bookmarkEnd w:id="33"/>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#(centered)</w:t>
            </w:r>
          </w:p>
        </w:tc>
        <w:tc>
          <w:tcPr>
            <w:tcBorders>
              <w:bottom w:val="single"/>
            </w:tcBorders>
            <w:vAlign w:val="bottom"/>
          </w:tcPr>
          <w:p>
            <w:pPr>
              <w:pStyle w:val="Compact"/>
              <w:jc w:val="left"/>
            </w:pPr>
            <w:r>
              <w:t xml:space="preserve">Digital Output(left)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jc w:val="left"/>
            </w:pPr>
            <w:r>
              <w:t xml:space="preserve">Not retained since duplicative</w:t>
            </w: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jc w:val="left"/>
            </w:pPr>
            <w:r>
              <w:t xml:space="preserve">GitHub repository; Zenodo repository</w:t>
            </w: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jc w:val="left"/>
            </w:pPr>
            <w:r>
              <w:t xml:space="preserve">Datacite registry database; GitHub public repository; Zenodo repository</w:t>
            </w: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jc w:val="left"/>
            </w:pPr>
            <w:r>
              <w:t xml:space="preserve">GitHub public repository</w:t>
            </w: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jc w:val="left"/>
            </w:pPr>
            <w:r>
              <w:t xml:space="preserve">GitHub public repository</w:t>
            </w: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jc w:val="left"/>
            </w:pPr>
            <w:r>
              <w:t xml:space="preserve">Publisher website, community preprint server</w:t>
            </w:r>
          </w:p>
        </w:tc>
      </w:tr>
    </w:tbl>
    <w:p>
      <w:pPr>
        <w:pStyle w:val="Heading2"/>
      </w:pPr>
      <w:bookmarkStart w:id="34" w:name="metadata"/>
      <w:bookmarkEnd w:id="34"/>
      <w:r>
        <w:t xml:space="preserve">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w:t>
      </w:r>
      <w:r>
        <w:t xml:space="preserve"> </w:t>
      </w:r>
      <w:hyperlink r:id="rId35">
        <w:r>
          <w:rPr>
            <w:rStyle w:val="Hyperlink"/>
          </w:rPr>
          <w:t xml:space="preserve">DataCite Metadata Schema 4.1</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36" w:name="ethics-and-legal-compliance"/>
      <w:bookmarkEnd w:id="36"/>
      <w:r>
        <w:t xml:space="preserve">Ethics and Legal Compliance</w:t>
      </w:r>
    </w:p>
    <w:p>
      <w:pPr>
        <w:pStyle w:val="FirstParagraph"/>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Creative Commons BY-SA license. This license requires that reusers of the data share their derivative data set under the same license. Therefore, the output of this research will be disseminated under the CC BY-SA license. This license adheres to the Principles and Guidelines of the Research Data Alliance Legal Interoperability Group, which recommends the use of Creative Commons Attribution licenses to allow the broadest sharing of data while guaranteeing attribution to the data provider. FN- The Legal Interop Guidelines are posted at</w:t>
      </w:r>
      <w:r>
        <w:t xml:space="preserve"> </w:t>
      </w:r>
      <w:hyperlink r:id="rId37">
        <w:r>
          <w:rPr>
            <w:rStyle w:val="Hyperlink"/>
          </w:rPr>
          <w:t xml:space="preserve">https://www.rd-alliance.org/rda-codata-legal-interoperability-research-data-principles-and-implementation-guidelines-now</w:t>
        </w:r>
      </w:hyperlink>
    </w:p>
    <w:p>
      <w:r>
        <w:pict>
          <v:rect style="width:0;height:1.5pt" o:hralign="center" o:hrstd="t" o:hr="t"/>
        </w:pict>
      </w:r>
    </w:p>
    <w:p>
      <w:pPr>
        <w:pStyle w:val="Heading1"/>
      </w:pPr>
      <w:bookmarkStart w:id="38" w:name="data-collection-and-standards"/>
      <w:bookmarkEnd w:id="38"/>
      <w:r>
        <w:t xml:space="preserve">Data collection and standards</w:t>
      </w:r>
    </w:p>
    <w:p>
      <w:pPr>
        <w:pStyle w:val="FirstParagraph"/>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 (2017) Coding Framework will be stored in csv file format.</w:t>
      </w:r>
    </w:p>
    <w:p>
      <w:pPr>
        <w:pStyle w:val="BodyText"/>
      </w:pPr>
      <w:r>
        <w:t xml:space="preserve">Analysis, visualization, and summarization of the study’s findings will be performed in the open source software R and RStudio using the tidyverse package (Wickham, 201?). Reports produced from the study will be also be created in RStudio using the open source text format Rmarkdown and output to HTML documents, HTML slides, and MS Word documents for submission to funders or publishers.</w:t>
      </w:r>
    </w:p>
    <w:p>
      <w:pPr>
        <w:pStyle w:val="BodyText"/>
      </w:pPr>
      <w:r>
        <w:t xml:space="preserve">All files associated with the project will be maintained under the Git version control system and made openly available for download from the Principal Investigator’s GitHub repository.</w:t>
      </w:r>
    </w:p>
    <w:p>
      <w:r>
        <w:pict>
          <v:rect style="width:0;height:1.5pt" o:hralign="center" o:hrstd="t" o:hr="t"/>
        </w:pict>
      </w:r>
    </w:p>
    <w:p>
      <w:pPr>
        <w:pStyle w:val="Heading1"/>
      </w:pPr>
      <w:bookmarkStart w:id="39" w:name="storage-and-backup"/>
      <w:bookmarkEnd w:id="39"/>
      <w:r>
        <w:t xml:space="preserve">Storage and Backup</w:t>
      </w:r>
    </w:p>
    <w:p>
      <w:pPr>
        <w:pStyle w:val="FirstParagraph"/>
      </w:pPr>
      <w:r>
        <w:t xml:space="preserve">During the active phase of the project data will be stored on and backed up to the Research Data Storage Facility (RDSF) at Trieste Polytechnic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2"/>
      </w:pPr>
      <w:bookmarkStart w:id="40" w:name="deposit-and-long-term-preservation"/>
      <w:bookmarkEnd w:id="40"/>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Trieste Polytechnic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41" w:name="selection-and-preservation"/>
      <w:bookmarkEnd w:id="41"/>
      <w:r>
        <w:t xml:space="preserve">Selection and Preservation</w:t>
      </w:r>
    </w:p>
    <w:p>
      <w:pPr>
        <w:pStyle w:val="FirstParagraph"/>
      </w:pPr>
      <w:r>
        <w:t xml:space="preserve">The final complete data set doaj_seal_enhanced and all published outputs produced based on this data set will be issued Digital Object Identifiers and stored on GitHub and Zenodo.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42" w:name="data-sharing"/>
      <w:bookmarkEnd w:id="42"/>
      <w:r>
        <w:t xml:space="preserve">Data Sharing</w:t>
      </w:r>
    </w:p>
    <w:p>
      <w:pPr>
        <w:pStyle w:val="FirstParagraph"/>
      </w:pPr>
      <w:r>
        <w:t xml:space="preserve">The data and metadata will be made openly accessible under a CC-BY SA license in the CERN-maintained open access repository Zenodo</w:t>
      </w:r>
      <w:r>
        <w:t xml:space="preserve"> </w:t>
      </w:r>
      <w:hyperlink r:id="rId43">
        <w:r>
          <w:rPr>
            <w:rStyle w:val="Hyperlink"/>
          </w:rPr>
          <w:t xml:space="preserve">https://zenodo.org/</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44"/>
      </w:r>
    </w:p>
    <w:p>
      <w:pPr>
        <w:pStyle w:val="SourceCode"/>
      </w:pPr>
      <w:r>
        <w:rPr>
          <w:rStyle w:val="VerbatimChar"/>
        </w:rPr>
        <w:t xml:space="preserve">This is an unexecutable code bit.</w:t>
      </w:r>
    </w:p>
    <w:p>
      <w:r>
        <w:pict>
          <v:rect style="width:0;height:1.5pt" o:hralign="center" o:hrstd="t" o:hr="t"/>
        </w:pict>
      </w:r>
    </w:p>
    <w:p>
      <w:pPr>
        <w:pStyle w:val="Heading1"/>
      </w:pPr>
      <w:bookmarkStart w:id="46" w:name="responsibilities-and-resources"/>
      <w:bookmarkEnd w:id="46"/>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maintaining all files under version control using git and GitHub.</w:t>
      </w:r>
    </w:p>
    <w:p>
      <w:pPr>
        <w:pStyle w:val="BodyText"/>
      </w:pPr>
      <w:r>
        <w:t xml:space="preserve">The Data Management Specialist assigned to the project as an in-kind contribution from the Trieste Polytechnic Institute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1"/>
      </w:pPr>
      <w:bookmarkStart w:id="47" w:name="principal-investigators-biosketch"/>
      <w:bookmarkEnd w:id="47"/>
      <w:r>
        <w:t xml:space="preserve">Principal Investigator’s BioSketch</w:t>
      </w:r>
    </w:p>
    <w:p>
      <w:pPr>
        <w:pStyle w:val="FirstParagraph"/>
      </w:pPr>
      <w:r>
        <w:t xml:space="preserve">About me…</w:t>
      </w:r>
    </w:p>
    <w:p>
      <w:r>
        <w:pict>
          <v:rect style="width:0;height:1.5pt" o:hralign="center" o:hrstd="t" o:hr="t"/>
        </w:pict>
      </w:r>
    </w:p>
    <w:p>
      <w:pPr>
        <w:pStyle w:val="Heading1"/>
      </w:pPr>
      <w:bookmarkStart w:id="48" w:name="references"/>
      <w:bookmarkEnd w:id="48"/>
      <w:r>
        <w:t xml:space="preserve">References</w:t>
      </w:r>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and the choice to exclude non_English language journals.</w:t>
      </w:r>
    </w:p>
  </w:footnote>
  <w:footnote w:id="26">
    <w:p>
      <w:pPr>
        <w:pStyle w:val="FootnoteText"/>
      </w:pPr>
      <w:r>
        <w:rPr>
          <w:rStyle w:val="FootnoteReference"/>
        </w:rPr>
        <w:footnoteRef/>
      </w:r>
      <w:r>
        <w:t xml:space="preserve"> </w:t>
      </w:r>
      <w:r>
        <w:t xml:space="preserve">DOAJ selection for Seal Approval is explained in the FAQ at</w:t>
      </w:r>
      <w:r>
        <w:t xml:space="preserve"> </w:t>
      </w:r>
      <w:hyperlink r:id="rId27">
        <w:r>
          <w:rPr>
            <w:rStyle w:val="Hyperlink"/>
          </w:rPr>
          <w:t xml:space="preserve">https://doaj.org/faq#seal</w:t>
        </w:r>
      </w:hyperlink>
      <w:r>
        <w:t xml:space="preserve">.</w:t>
      </w:r>
    </w:p>
  </w:footnote>
  <w:footnote w:id="44">
    <w:p>
      <w:pPr>
        <w:pStyle w:val="FootnoteText"/>
      </w:pPr>
      <w:r>
        <w:rPr>
          <w:rStyle w:val="FootnoteReference"/>
        </w:rPr>
        <w:footnoteRef/>
      </w:r>
      <w:r>
        <w:t xml:space="preserve"> </w:t>
      </w:r>
      <w:r>
        <w:t xml:space="preserve">Zenodo policies are available online at</w:t>
      </w:r>
      <w:r>
        <w:t xml:space="preserve"> </w:t>
      </w:r>
      <w:hyperlink r:id="rId45">
        <w:r>
          <w:rPr>
            <w:rStyle w:val="Hyperlink"/>
          </w:rPr>
          <w:t xml:space="preserve">http://about.zenodo.org/policies/</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4966028"/>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E8C0954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F604D0C"/>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3B44FB32"/>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9724CBBE"/>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FF4CA020"/>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91B410A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4CEA159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2FA8C6C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0929D4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5E660E"/>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dee594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23eca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e54529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2b8e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15"/>
  </w:num>
  <w:num w:numId="8">
    <w:abstractNumId w:val="14"/>
  </w:num>
  <w:num w:numId="9">
    <w:abstractNumId w:val="16"/>
  </w:num>
  <w:num w:numId="10">
    <w:abstractNumId w:val="4"/>
  </w:num>
  <w:num w:numId="11">
    <w:abstractNumId w:val="5"/>
  </w:num>
  <w:num w:numId="12">
    <w:abstractNumId w:val="6"/>
  </w:num>
  <w:num w:numId="13">
    <w:abstractNumId w:val="7"/>
  </w:num>
  <w:num w:numId="14">
    <w:abstractNumId w:val="12"/>
  </w:num>
  <w:num w:numId="15">
    <w:abstractNumId w:val="8"/>
  </w:num>
  <w:num w:numId="16">
    <w:abstractNumId w:val="9"/>
  </w:num>
  <w:num w:numId="17">
    <w:abstractNumId w:val="10"/>
  </w:num>
  <w:num w:numId="18">
    <w:abstractNumId w:val="11"/>
  </w:num>
  <w:num w:numId="19">
    <w:abstractNumId w:val="13"/>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831"/>
  </w:style>
  <w:style w:type="paragraph" w:styleId="Heading1">
    <w:name w:val="heading 1"/>
    <w:basedOn w:val="Normal"/>
    <w:next w:val="Normal"/>
    <w:link w:val="Heading1Char"/>
    <w:uiPriority w:val="9"/>
    <w:qFormat/>
    <w:rsid w:val="00C27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8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8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78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78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278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278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C278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C27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7831"/>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27831"/>
    <w:pPr>
      <w:spacing w:line="240" w:lineRule="auto"/>
    </w:pPr>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C2783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uiPriority w:val="9"/>
    <w:rsid w:val="00C27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278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27831"/>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C278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8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78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8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78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7831"/>
    <w:rPr>
      <w:rFonts w:asciiTheme="majorHAnsi" w:eastAsiaTheme="majorEastAsia" w:hAnsiTheme="majorHAnsi" w:cstheme="majorBidi"/>
      <w:i/>
      <w:iCs/>
      <w:color w:val="243F60" w:themeColor="accent1" w:themeShade="7F"/>
    </w:rPr>
  </w:style>
  <w:style w:type="character" w:customStyle="1" w:styleId="TitleChar">
    <w:name w:val="Title Char"/>
    <w:basedOn w:val="DefaultParagraphFont"/>
    <w:link w:val="Title"/>
    <w:uiPriority w:val="10"/>
    <w:rsid w:val="00C2783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C278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27831"/>
    <w:rPr>
      <w:b/>
      <w:bCs/>
    </w:rPr>
  </w:style>
  <w:style w:type="character" w:styleId="Emphasis">
    <w:name w:val="Emphasis"/>
    <w:basedOn w:val="DefaultParagraphFont"/>
    <w:uiPriority w:val="20"/>
    <w:qFormat/>
    <w:rsid w:val="00C27831"/>
    <w:rPr>
      <w:i/>
      <w:iCs/>
    </w:rPr>
  </w:style>
  <w:style w:type="paragraph" w:styleId="NoSpacing">
    <w:name w:val="No Spacing"/>
    <w:link w:val="NoSpacingChar"/>
    <w:uiPriority w:val="1"/>
    <w:qFormat/>
    <w:rsid w:val="00C27831"/>
    <w:pPr>
      <w:spacing w:after="0" w:line="240" w:lineRule="auto"/>
    </w:pPr>
  </w:style>
  <w:style w:type="character" w:customStyle="1" w:styleId="NoSpacingChar">
    <w:name w:val="No Spacing Char"/>
    <w:basedOn w:val="DefaultParagraphFont"/>
    <w:link w:val="NoSpacing"/>
    <w:uiPriority w:val="1"/>
    <w:rsid w:val="00C27831"/>
  </w:style>
  <w:style w:type="paragraph" w:styleId="ListParagraph">
    <w:name w:val="List Paragraph"/>
    <w:basedOn w:val="Normal"/>
    <w:uiPriority w:val="34"/>
    <w:qFormat/>
    <w:rsid w:val="00C27831"/>
    <w:pPr>
      <w:ind w:left="720"/>
      <w:contextualSpacing/>
    </w:pPr>
  </w:style>
  <w:style w:type="paragraph" w:styleId="Quote">
    <w:name w:val="Quote"/>
    <w:basedOn w:val="Normal"/>
    <w:next w:val="Normal"/>
    <w:link w:val="QuoteChar"/>
    <w:uiPriority w:val="29"/>
    <w:qFormat/>
    <w:rsid w:val="00C27831"/>
    <w:rPr>
      <w:i/>
      <w:iCs/>
      <w:color w:val="000000" w:themeColor="text1"/>
    </w:rPr>
  </w:style>
  <w:style w:type="character" w:customStyle="1" w:styleId="QuoteChar">
    <w:name w:val="Quote Char"/>
    <w:basedOn w:val="DefaultParagraphFont"/>
    <w:link w:val="Quote"/>
    <w:uiPriority w:val="29"/>
    <w:rsid w:val="00C27831"/>
    <w:rPr>
      <w:i/>
      <w:iCs/>
      <w:color w:val="000000" w:themeColor="text1"/>
    </w:rPr>
  </w:style>
  <w:style w:type="paragraph" w:styleId="IntenseQuote">
    <w:name w:val="Intense Quote"/>
    <w:basedOn w:val="Normal"/>
    <w:next w:val="Normal"/>
    <w:link w:val="IntenseQuoteChar"/>
    <w:uiPriority w:val="30"/>
    <w:qFormat/>
    <w:rsid w:val="00C278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7831"/>
    <w:rPr>
      <w:b/>
      <w:bCs/>
      <w:i/>
      <w:iCs/>
      <w:color w:val="4F81BD" w:themeColor="accent1"/>
    </w:rPr>
  </w:style>
  <w:style w:type="character" w:styleId="SubtleEmphasis">
    <w:name w:val="Subtle Emphasis"/>
    <w:basedOn w:val="DefaultParagraphFont"/>
    <w:uiPriority w:val="19"/>
    <w:qFormat/>
    <w:rsid w:val="00C27831"/>
    <w:rPr>
      <w:i/>
      <w:iCs/>
      <w:color w:val="808080" w:themeColor="text1" w:themeTint="7F"/>
    </w:rPr>
  </w:style>
  <w:style w:type="character" w:styleId="IntenseEmphasis">
    <w:name w:val="Intense Emphasis"/>
    <w:basedOn w:val="DefaultParagraphFont"/>
    <w:uiPriority w:val="21"/>
    <w:qFormat/>
    <w:rsid w:val="00C27831"/>
    <w:rPr>
      <w:b/>
      <w:bCs/>
      <w:i/>
      <w:iCs/>
      <w:color w:val="4F81BD" w:themeColor="accent1"/>
    </w:rPr>
  </w:style>
  <w:style w:type="character" w:styleId="SubtleReference">
    <w:name w:val="Subtle Reference"/>
    <w:basedOn w:val="DefaultParagraphFont"/>
    <w:uiPriority w:val="31"/>
    <w:qFormat/>
    <w:rsid w:val="00C27831"/>
    <w:rPr>
      <w:smallCaps/>
      <w:color w:val="C0504D" w:themeColor="accent2"/>
      <w:u w:val="single"/>
    </w:rPr>
  </w:style>
  <w:style w:type="character" w:styleId="IntenseReference">
    <w:name w:val="Intense Reference"/>
    <w:basedOn w:val="DefaultParagraphFont"/>
    <w:uiPriority w:val="32"/>
    <w:qFormat/>
    <w:rsid w:val="00C27831"/>
    <w:rPr>
      <w:b/>
      <w:bCs/>
      <w:smallCaps/>
      <w:color w:val="C0504D" w:themeColor="accent2"/>
      <w:spacing w:val="5"/>
      <w:u w:val="single"/>
    </w:rPr>
  </w:style>
  <w:style w:type="character" w:styleId="BookTitle">
    <w:name w:val="Book Title"/>
    <w:basedOn w:val="DefaultParagraphFont"/>
    <w:uiPriority w:val="33"/>
    <w:qFormat/>
    <w:rsid w:val="00C27831"/>
    <w:rPr>
      <w:b/>
      <w:bCs/>
      <w:smallCaps/>
      <w:spacing w:val="5"/>
    </w:rPr>
  </w:style>
  <w:style w:type="paragraph" w:customStyle="1" w:styleId="PersonalName">
    <w:name w:val="Personal Name"/>
    <w:basedOn w:val="Title"/>
    <w:rsid w:val="00C27831"/>
    <w:rPr>
      <w:b/>
      <w:caps/>
      <w:color w:val="000000"/>
      <w:sz w:val="28"/>
      <w:szCs w:val="28"/>
    </w:rPr>
  </w:style>
  <w:style w:type="character" w:customStyle="1" w:styleId="BodyTextChar">
    <w:name w:val="Body Text Char"/>
    <w:basedOn w:val="DefaultParagraphFont"/>
    <w:link w:val="BodyText"/>
    <w:rsid w:val="00C2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45" Target="http://about.zenodo.org/policies/" TargetMode="External" /><Relationship Type="http://schemas.openxmlformats.org/officeDocument/2006/relationships/hyperlink" Id="rId24" Target="http://doaj.org" TargetMode="External" /><Relationship Type="http://schemas.openxmlformats.org/officeDocument/2006/relationships/hyperlink" Id="rId21" Target="http://www.johnbohannon.org/" TargetMode="External" /><Relationship Type="http://schemas.openxmlformats.org/officeDocument/2006/relationships/hyperlink" Id="rId31" Target="https://doaj.org/faq#metadata" TargetMode="External" /><Relationship Type="http://schemas.openxmlformats.org/officeDocument/2006/relationships/hyperlink" Id="rId27" Target="https://doaj.org/faq#seal" TargetMode="External" /><Relationship Type="http://schemas.openxmlformats.org/officeDocument/2006/relationships/hyperlink" Id="rId35" Target="https://schema.datacite.org/" TargetMode="External" /><Relationship Type="http://schemas.openxmlformats.org/officeDocument/2006/relationships/hyperlink" Id="rId28" Target="https://www.gatesfoundation.org/How-We-Work/General-Information/Open-Access-Policy" TargetMode="External" /><Relationship Type="http://schemas.openxmlformats.org/officeDocument/2006/relationships/hyperlink" Id="rId22" Target="https://www.rd-alliance.org/groups/data-policy-standardisation-and-implementation" TargetMode="External" /><Relationship Type="http://schemas.openxmlformats.org/officeDocument/2006/relationships/hyperlink" Id="rId37" Target="https://www.rd-alliance.org/rda-codata-legal-interoperability-research-data-principles-and-implementation-guidelines-now" TargetMode="External" /><Relationship Type="http://schemas.openxmlformats.org/officeDocument/2006/relationships/hyperlink" Id="rId43"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5" Target="http://about.zenodo.org/policies/" TargetMode="External" /><Relationship Type="http://schemas.openxmlformats.org/officeDocument/2006/relationships/hyperlink" Id="rId24" Target="http://doaj.org" TargetMode="External" /><Relationship Type="http://schemas.openxmlformats.org/officeDocument/2006/relationships/hyperlink" Id="rId21" Target="http://www.johnbohannon.org/" TargetMode="External" /><Relationship Type="http://schemas.openxmlformats.org/officeDocument/2006/relationships/hyperlink" Id="rId31" Target="https://doaj.org/faq#metadata" TargetMode="External" /><Relationship Type="http://schemas.openxmlformats.org/officeDocument/2006/relationships/hyperlink" Id="rId27" Target="https://doaj.org/faq#seal" TargetMode="External" /><Relationship Type="http://schemas.openxmlformats.org/officeDocument/2006/relationships/hyperlink" Id="rId35" Target="https://schema.datacite.org/" TargetMode="External" /><Relationship Type="http://schemas.openxmlformats.org/officeDocument/2006/relationships/hyperlink" Id="rId28" Target="https://www.gatesfoundation.org/How-We-Work/General-Information/Open-Access-Policy" TargetMode="External" /><Relationship Type="http://schemas.openxmlformats.org/officeDocument/2006/relationships/hyperlink" Id="rId22" Target="https://www.rd-alliance.org/groups/data-policy-standardisation-and-implementation" TargetMode="External" /><Relationship Type="http://schemas.openxmlformats.org/officeDocument/2006/relationships/hyperlink" Id="rId37" Target="https://www.rd-alliance.org/rda-codata-legal-interoperability-research-data-principles-and-implementation-guidelines-now" TargetMode="External" /><Relationship Type="http://schemas.openxmlformats.org/officeDocument/2006/relationships/hyperlink" Id="rId43"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Principal Investigator - April Clyburne-Sherin, Code Ocean</dc:creator>
  <dcterms:created xsi:type="dcterms:W3CDTF">2019-08-06T18:00:23Z</dcterms:created>
  <dcterms:modified xsi:type="dcterms:W3CDTF">2019-08-06T18:00:23Z</dcterms:modified>
</cp:coreProperties>
</file>