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377440" cy="792480"/>
            <wp:docPr id="1" name="Picture 1"/>
            <wp:cNvGraphicFramePr>
              <a:graphicFrameLocks noChangeAspect="1"/>
            </wp:cNvGraphicFramePr>
            <a:graphic>
              <a:graphicData uri="http://schemas.openxmlformats.org/drawingml/2006/picture">
                <pic:pic>
                  <pic:nvPicPr>
                    <pic:cNvPr id="0" name="AprilsAnalog_Logo_Horizontal_Light.png"/>
                    <pic:cNvPicPr/>
                  </pic:nvPicPr>
                  <pic:blipFill>
                    <a:blip r:embed="rId9"/>
                    <a:stretch>
                      <a:fillRect/>
                    </a:stretch>
                  </pic:blipFill>
                  <pic:spPr>
                    <a:xfrm>
                      <a:off x="0" y="0"/>
                      <a:ext cx="2377440" cy="792480"/>
                    </a:xfrm>
                    <a:prstGeom prst="rect"/>
                  </pic:spPr>
                </pic:pic>
              </a:graphicData>
            </a:graphic>
          </wp:inline>
        </w:drawing>
      </w:r>
    </w:p>
    <w:p>
      <w:pPr>
        <w:pStyle w:val="Title"/>
      </w:pPr>
      <w:r>
        <w:t>April's Analog brand kit</w:t>
      </w:r>
    </w:p>
    <w:p>
      <w:r>
        <w:rPr>
          <w:i/>
          <w:color w:val="1F7A74"/>
        </w:rPr>
        <w:t>Everything you need to set up the brand kit that PowerPoint and @brandkit in Excel use in the demos.</w:t>
      </w:r>
    </w:p>
    <w:p>
      <w:pPr>
        <w:pStyle w:val="Heading2"/>
      </w:pPr>
      <w:r>
        <w:t>Logos</w:t>
      </w:r>
    </w:p>
    <w:tbl>
      <w:tblPr>
        <w:tblStyle w:val="TableGrid"/>
        <w:tblW w:type="auto" w:w="0"/>
        <w:tblLook w:firstColumn="1" w:firstRow="1" w:lastColumn="0" w:lastRow="0" w:noHBand="0" w:noVBand="1" w:val="04A0"/>
      </w:tblPr>
      <w:tblGrid>
        <w:gridCol w:w="4680"/>
        <w:gridCol w:w="4680"/>
      </w:tblGrid>
      <w:tr>
        <w:tc>
          <w:tcPr>
            <w:tcW w:type="dxa" w:w="4608"/>
            <w:shd w:val="clear" w:color="auto" w:fill="1B1B1B"/>
          </w:tcPr>
          <w:p>
            <w:r/>
            <w:r>
              <w:rPr>
                <w:b/>
                <w:color w:val="FFFFFF"/>
                <w:sz w:val="20"/>
              </w:rPr>
              <w:t>File</w:t>
            </w:r>
          </w:p>
        </w:tc>
        <w:tc>
          <w:tcPr>
            <w:tcW w:type="dxa" w:w="4752"/>
            <w:shd w:val="clear" w:color="auto" w:fill="1B1B1B"/>
          </w:tcPr>
          <w:p>
            <w:r/>
            <w:r>
              <w:rPr>
                <w:b/>
                <w:color w:val="FFFFFF"/>
                <w:sz w:val="20"/>
              </w:rPr>
              <w:t>Use it for</w:t>
            </w:r>
          </w:p>
        </w:tc>
      </w:tr>
      <w:tr>
        <w:tc>
          <w:tcPr>
            <w:tcW w:type="dxa" w:w="4608"/>
          </w:tcPr>
          <w:p>
            <w:r/>
            <w:r>
              <w:rPr>
                <w:sz w:val="20"/>
              </w:rPr>
              <w:t>AprilsAnalog_Logo_Horizontal_Light.png</w:t>
            </w:r>
          </w:p>
        </w:tc>
        <w:tc>
          <w:tcPr>
            <w:tcW w:type="dxa" w:w="4752"/>
          </w:tcPr>
          <w:p>
            <w:r/>
            <w:r>
              <w:rPr>
                <w:sz w:val="20"/>
              </w:rPr>
              <w:t>Light backgrounds, title slides, documents</w:t>
            </w:r>
          </w:p>
        </w:tc>
      </w:tr>
      <w:tr>
        <w:tc>
          <w:tcPr>
            <w:tcW w:type="dxa" w:w="4608"/>
          </w:tcPr>
          <w:p>
            <w:r/>
            <w:r>
              <w:rPr>
                <w:sz w:val="20"/>
              </w:rPr>
              <w:t>AprilsAnalog_Logo_Horizontal_Dark.png</w:t>
            </w:r>
          </w:p>
        </w:tc>
        <w:tc>
          <w:tcPr>
            <w:tcW w:type="dxa" w:w="4752"/>
          </w:tcPr>
          <w:p>
            <w:r/>
            <w:r>
              <w:rPr>
                <w:sz w:val="20"/>
              </w:rPr>
              <w:t>Dark backgrounds</w:t>
            </w:r>
          </w:p>
        </w:tc>
      </w:tr>
      <w:tr>
        <w:tc>
          <w:tcPr>
            <w:tcW w:type="dxa" w:w="4608"/>
          </w:tcPr>
          <w:p>
            <w:r/>
            <w:r>
              <w:rPr>
                <w:sz w:val="20"/>
              </w:rPr>
              <w:t>AprilsAnalog_Logo_Mark.png</w:t>
            </w:r>
          </w:p>
        </w:tc>
        <w:tc>
          <w:tcPr>
            <w:tcW w:type="dxa" w:w="4752"/>
          </w:tcPr>
          <w:p>
            <w:r/>
            <w:r>
              <w:rPr>
                <w:sz w:val="20"/>
              </w:rPr>
              <w:t>Square spaces: favicon, app icon, social avatar</w:t>
            </w:r>
          </w:p>
        </w:tc>
      </w:tr>
    </w:tbl>
    <w:p/>
    <w:p>
      <w:pPr>
        <w:pStyle w:val="Heading2"/>
      </w:pPr>
      <w:r>
        <w:t>Colors</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1B1B1B"/>
          </w:tcPr>
          <w:p>
            <w:r/>
            <w:r>
              <w:rPr>
                <w:b/>
                <w:color w:val="FFFFFF"/>
                <w:sz w:val="20"/>
              </w:rPr>
              <w:t>Name</w:t>
            </w:r>
          </w:p>
        </w:tc>
        <w:tc>
          <w:tcPr>
            <w:tcW w:type="dxa" w:w="1728"/>
            <w:shd w:val="clear" w:color="auto" w:fill="1B1B1B"/>
          </w:tcPr>
          <w:p>
            <w:r/>
            <w:r>
              <w:rPr>
                <w:b/>
                <w:color w:val="FFFFFF"/>
                <w:sz w:val="20"/>
              </w:rPr>
              <w:t>Hex</w:t>
            </w:r>
          </w:p>
        </w:tc>
        <w:tc>
          <w:tcPr>
            <w:tcW w:type="dxa" w:w="4464"/>
            <w:shd w:val="clear" w:color="auto" w:fill="1B1B1B"/>
          </w:tcPr>
          <w:p>
            <w:r/>
            <w:r>
              <w:rPr>
                <w:b/>
                <w:color w:val="FFFFFF"/>
                <w:sz w:val="20"/>
              </w:rPr>
              <w:t>Use</w:t>
            </w:r>
          </w:p>
        </w:tc>
      </w:tr>
      <w:tr>
        <w:tc>
          <w:tcPr>
            <w:tcW w:type="dxa" w:w="3168"/>
          </w:tcPr>
          <w:p>
            <w:r/>
            <w:r>
              <w:rPr>
                <w:sz w:val="20"/>
              </w:rPr>
              <w:t>Vinyl Black</w:t>
            </w:r>
          </w:p>
        </w:tc>
        <w:tc>
          <w:tcPr>
            <w:tcW w:type="dxa" w:w="1728"/>
            <w:shd w:val="clear" w:color="auto" w:fill="1B1B1B"/>
          </w:tcPr>
          <w:p>
            <w:r>
              <w:rPr>
                <w:color w:val="FFFFFF"/>
              </w:rPr>
            </w:r>
            <w:r>
              <w:rPr>
                <w:sz w:val="20"/>
              </w:rPr>
              <w:t>#1B1B1B</w:t>
            </w:r>
          </w:p>
        </w:tc>
        <w:tc>
          <w:tcPr>
            <w:tcW w:type="dxa" w:w="4464"/>
          </w:tcPr>
          <w:p>
            <w:r/>
            <w:r>
              <w:rPr>
                <w:sz w:val="20"/>
              </w:rPr>
              <w:t>Text, dark backgrounds</w:t>
            </w:r>
          </w:p>
        </w:tc>
      </w:tr>
      <w:tr>
        <w:tc>
          <w:tcPr>
            <w:tcW w:type="dxa" w:w="3168"/>
          </w:tcPr>
          <w:p>
            <w:r/>
            <w:r>
              <w:rPr>
                <w:sz w:val="20"/>
              </w:rPr>
              <w:t>Cream</w:t>
            </w:r>
          </w:p>
        </w:tc>
        <w:tc>
          <w:tcPr>
            <w:tcW w:type="dxa" w:w="1728"/>
            <w:shd w:val="clear" w:color="auto" w:fill="F5ECDC"/>
          </w:tcPr>
          <w:p>
            <w:r/>
            <w:r>
              <w:rPr>
                <w:sz w:val="20"/>
              </w:rPr>
              <w:t>#F5ECDC</w:t>
            </w:r>
          </w:p>
        </w:tc>
        <w:tc>
          <w:tcPr>
            <w:tcW w:type="dxa" w:w="4464"/>
          </w:tcPr>
          <w:p>
            <w:r/>
            <w:r>
              <w:rPr>
                <w:sz w:val="20"/>
              </w:rPr>
              <w:t>Light backgrounds</w:t>
            </w:r>
          </w:p>
        </w:tc>
      </w:tr>
      <w:tr>
        <w:tc>
          <w:tcPr>
            <w:tcW w:type="dxa" w:w="3168"/>
          </w:tcPr>
          <w:p>
            <w:r/>
            <w:r>
              <w:rPr>
                <w:sz w:val="20"/>
              </w:rPr>
              <w:t>Burnt Orange</w:t>
            </w:r>
          </w:p>
        </w:tc>
        <w:tc>
          <w:tcPr>
            <w:tcW w:type="dxa" w:w="1728"/>
            <w:shd w:val="clear" w:color="auto" w:fill="D9602B"/>
          </w:tcPr>
          <w:p>
            <w:r/>
            <w:r>
              <w:rPr>
                <w:sz w:val="20"/>
              </w:rPr>
              <w:t>#D9602B</w:t>
            </w:r>
          </w:p>
        </w:tc>
        <w:tc>
          <w:tcPr>
            <w:tcW w:type="dxa" w:w="4464"/>
          </w:tcPr>
          <w:p>
            <w:r/>
            <w:r>
              <w:rPr>
                <w:sz w:val="20"/>
              </w:rPr>
              <w:t>Primary accent, charts series 1</w:t>
            </w:r>
          </w:p>
        </w:tc>
      </w:tr>
      <w:tr>
        <w:tc>
          <w:tcPr>
            <w:tcW w:type="dxa" w:w="3168"/>
          </w:tcPr>
          <w:p>
            <w:r/>
            <w:r>
              <w:rPr>
                <w:sz w:val="20"/>
              </w:rPr>
              <w:t>Deep Orange (text-safe)</w:t>
            </w:r>
          </w:p>
        </w:tc>
        <w:tc>
          <w:tcPr>
            <w:tcW w:type="dxa" w:w="1728"/>
            <w:shd w:val="clear" w:color="auto" w:fill="B44A1C"/>
          </w:tcPr>
          <w:p>
            <w:r>
              <w:rPr>
                <w:color w:val="FFFFFF"/>
              </w:rPr>
            </w:r>
            <w:r>
              <w:rPr>
                <w:sz w:val="20"/>
              </w:rPr>
              <w:t>#B44A1C</w:t>
            </w:r>
          </w:p>
        </w:tc>
        <w:tc>
          <w:tcPr>
            <w:tcW w:type="dxa" w:w="4464"/>
          </w:tcPr>
          <w:p>
            <w:r/>
            <w:r>
              <w:rPr>
                <w:sz w:val="20"/>
              </w:rPr>
              <w:t>Accent text on cream</w:t>
            </w:r>
          </w:p>
        </w:tc>
      </w:tr>
      <w:tr>
        <w:tc>
          <w:tcPr>
            <w:tcW w:type="dxa" w:w="3168"/>
          </w:tcPr>
          <w:p>
            <w:r/>
            <w:r>
              <w:rPr>
                <w:sz w:val="20"/>
              </w:rPr>
              <w:t>Mustard</w:t>
            </w:r>
          </w:p>
        </w:tc>
        <w:tc>
          <w:tcPr>
            <w:tcW w:type="dxa" w:w="1728"/>
            <w:shd w:val="clear" w:color="auto" w:fill="E0A526"/>
          </w:tcPr>
          <w:p>
            <w:r/>
            <w:r>
              <w:rPr>
                <w:sz w:val="20"/>
              </w:rPr>
              <w:t>#E0A526</w:t>
            </w:r>
          </w:p>
        </w:tc>
        <w:tc>
          <w:tcPr>
            <w:tcW w:type="dxa" w:w="4464"/>
          </w:tcPr>
          <w:p>
            <w:r/>
            <w:r>
              <w:rPr>
                <w:sz w:val="20"/>
              </w:rPr>
              <w:t>Secondary accent, highlights on black</w:t>
            </w:r>
          </w:p>
        </w:tc>
      </w:tr>
      <w:tr>
        <w:tc>
          <w:tcPr>
            <w:tcW w:type="dxa" w:w="3168"/>
          </w:tcPr>
          <w:p>
            <w:r/>
            <w:r>
              <w:rPr>
                <w:sz w:val="20"/>
              </w:rPr>
              <w:t>Teal</w:t>
            </w:r>
          </w:p>
        </w:tc>
        <w:tc>
          <w:tcPr>
            <w:tcW w:type="dxa" w:w="1728"/>
            <w:shd w:val="clear" w:color="auto" w:fill="1F7A74"/>
          </w:tcPr>
          <w:p>
            <w:r>
              <w:rPr>
                <w:color w:val="FFFFFF"/>
              </w:rPr>
            </w:r>
            <w:r>
              <w:rPr>
                <w:sz w:val="20"/>
              </w:rPr>
              <w:t>#1F7A74</w:t>
            </w:r>
          </w:p>
        </w:tc>
        <w:tc>
          <w:tcPr>
            <w:tcW w:type="dxa" w:w="4464"/>
          </w:tcPr>
          <w:p>
            <w:r/>
            <w:r>
              <w:rPr>
                <w:sz w:val="20"/>
              </w:rPr>
              <w:t>Charts series 2, links</w:t>
            </w:r>
          </w:p>
        </w:tc>
      </w:tr>
    </w:tbl>
    <w:p/>
    <w:p>
      <w:pPr>
        <w:pStyle w:val="Heading2"/>
      </w:pPr>
      <w:r>
        <w:t>Fonts</w:t>
      </w:r>
    </w:p>
    <w:p>
      <w:pPr>
        <w:pStyle w:val="ListBullet"/>
      </w:pPr>
      <w:r>
        <w:rPr>
          <w:b/>
        </w:rPr>
        <w:t xml:space="preserve">Headings: </w:t>
      </w:r>
      <w:r>
        <w:t>Georgia (bold)</w:t>
      </w:r>
    </w:p>
    <w:p>
      <w:pPr>
        <w:pStyle w:val="ListBullet"/>
      </w:pPr>
      <w:r>
        <w:rPr>
          <w:b/>
        </w:rPr>
        <w:t xml:space="preserve">Body: </w:t>
      </w:r>
      <w:r>
        <w:t>Arial</w:t>
      </w:r>
    </w:p>
    <w:p>
      <w:pPr>
        <w:pStyle w:val="Heading2"/>
      </w:pPr>
      <w:r>
        <w:t>Voice</w:t>
      </w:r>
    </w:p>
    <w:p>
      <w:pPr>
        <w:pStyle w:val="ListBullet"/>
      </w:pPr>
      <w:r>
        <w:t>Warm, direct, a little music humor</w:t>
      </w:r>
    </w:p>
    <w:p>
      <w:pPr>
        <w:pStyle w:val="ListBullet"/>
      </w:pPr>
      <w:r>
        <w:t>Contractions always, no em dashes</w:t>
      </w:r>
    </w:p>
    <w:p>
      <w:pPr>
        <w:pStyle w:val="ListBullet"/>
      </w:pPr>
      <w:r>
        <w:t>Lead with what the reader gets</w:t>
      </w:r>
    </w:p>
    <w:p>
      <w:pPr>
        <w:pStyle w:val="Heading2"/>
      </w:pPr>
      <w:r>
        <w:t>Setting it up</w:t>
      </w:r>
    </w:p>
    <w:p>
      <w:r>
        <w:rPr>
          <w:i w:val="0"/>
        </w:rPr>
        <w:t>Create the brand kit wherever your tenant manages brand kits for Copilot in PowerPoint (for example, SharePoint Brand Center), using the logos, colors and fonts above. Name it April's Analog. Check that it shows in PowerPoint's brand kit picker and that @brandkit in Excel applies it. Brand kit locations and menus change often, so confirm the exact steps in your tenant a week before.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cs="Georgia"/>
      <w:b/>
      <w:bCs/>
      <w:color w:val="1B1B1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cs="Georgia"/>
      <w:b/>
      <w:bCs/>
      <w:color w:val="B44A1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cs="Georgia"/>
      <w:b/>
      <w:bCs/>
      <w:color w:val="1F7A7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B1B1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