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EFC10261 SAS Clinical Programming Portfolio</w:t>
        <w:br/>
        <w:t>Program Execution Flow</w:t>
      </w:r>
    </w:p>
    <w:p>
      <w:r>
        <w:t>This document describes the recommended execution order for the SAS programs in the EFC10261 Clinical Programming Portfolio. Programs should be run sequentially because downstream programs depend on datasets and outputs created in earlier steps.</w:t>
      </w:r>
    </w:p>
    <w:p>
      <w:pPr>
        <w:pStyle w:val="Heading2"/>
      </w:pPr>
      <w:r>
        <w:t>Execution Sequence</w:t>
      </w:r>
    </w:p>
    <w:p>
      <w:pPr>
        <w:pStyle w:val="ListNumber"/>
      </w:pPr>
      <w:r>
        <w:rPr>
          <w:b/>
        </w:rPr>
        <w:t>00_setup.sas</w:t>
        <w:br/>
      </w:r>
      <w:r>
        <w:t>Initialize study environment, libraries, macro variables, output paths, and SAS options.</w:t>
      </w:r>
    </w:p>
    <w:p>
      <w:pPr>
        <w:pStyle w:val="ListNumber"/>
      </w:pPr>
      <w:r>
        <w:rPr>
          <w:b/>
        </w:rPr>
        <w:t>01_sdtm_inventory.sas</w:t>
        <w:br/>
      </w:r>
      <w:r>
        <w:t>Generate SDTM metadata documentation for the source package.</w:t>
      </w:r>
    </w:p>
    <w:p>
      <w:pPr>
        <w:pStyle w:val="ListNumber"/>
      </w:pPr>
      <w:r>
        <w:rPr>
          <w:b/>
        </w:rPr>
        <w:t>10_build_adsl.sas</w:t>
        <w:br/>
      </w:r>
      <w:r>
        <w:t>Create the subject-level analysis dataset (ADSL).</w:t>
      </w:r>
    </w:p>
    <w:p>
      <w:pPr>
        <w:pStyle w:val="ListNumber"/>
      </w:pPr>
      <w:r>
        <w:rPr>
          <w:b/>
        </w:rPr>
        <w:t>20_qc_adsl.sas</w:t>
        <w:br/>
      </w:r>
      <w:r>
        <w:t>Independently derive and compare ADSL against the production dataset.</w:t>
      </w:r>
    </w:p>
    <w:p>
      <w:pPr>
        <w:pStyle w:val="ListNumber"/>
      </w:pPr>
      <w:r>
        <w:rPr>
          <w:b/>
        </w:rPr>
        <w:t>20_build_adae.sas</w:t>
        <w:br/>
      </w:r>
      <w:r>
        <w:t>Create the adverse event analysis dataset (ADAE) using ADSL and SDTM.AE.</w:t>
      </w:r>
    </w:p>
    <w:p>
      <w:pPr>
        <w:pStyle w:val="ListNumber"/>
      </w:pPr>
      <w:r>
        <w:rPr>
          <w:b/>
        </w:rPr>
        <w:t>30_qc_adae.sas</w:t>
        <w:br/>
      </w:r>
      <w:r>
        <w:t>Independently derive and compare ADAE against the production dataset.</w:t>
      </w:r>
    </w:p>
    <w:p>
      <w:pPr>
        <w:pStyle w:val="ListNumber"/>
      </w:pPr>
      <w:r>
        <w:rPr>
          <w:b/>
        </w:rPr>
        <w:t>40_teae_incidence.sas</w:t>
        <w:br/>
      </w:r>
      <w:r>
        <w:t>Generate the TEAE incidence summary table.</w:t>
      </w:r>
    </w:p>
    <w:p>
      <w:pPr>
        <w:pStyle w:val="ListNumber"/>
      </w:pPr>
      <w:r>
        <w:rPr>
          <w:b/>
        </w:rPr>
        <w:t>41_teae_severity.sas</w:t>
        <w:br/>
      </w:r>
      <w:r>
        <w:t>Generate the TEAE toxicity grade summary table.</w:t>
      </w:r>
    </w:p>
    <w:p>
      <w:pPr>
        <w:pStyle w:val="ListNumber"/>
      </w:pPr>
      <w:r>
        <w:rPr>
          <w:b/>
        </w:rPr>
        <w:t>50_teae_soc_bar_chart.sas</w:t>
        <w:br/>
      </w:r>
      <w:r>
        <w:t>Generate the Top 10 System Organ Class incidence figure.</w:t>
      </w:r>
    </w:p>
    <w:p>
      <w:pPr>
        <w:pStyle w:val="ListNumber"/>
      </w:pPr>
      <w:r>
        <w:rPr>
          <w:b/>
        </w:rPr>
        <w:t>51_teae_severity_bar_chart.sas</w:t>
        <w:br/>
      </w:r>
      <w:r>
        <w:t>Generate the toxicity grade distribution figure.</w:t>
      </w:r>
    </w:p>
    <w:p>
      <w:pPr>
        <w:pStyle w:val="Heading2"/>
      </w:pPr>
      <w:r>
        <w:t>Dependency Flow</w:t>
      </w:r>
    </w:p>
    <w:p>
      <w:r>
        <w:t>00_setup.sas</w:t>
        <w:br/>
        <w:t xml:space="preserve">   ↓</w:t>
        <w:br/>
        <w:t>01_sdtm_inventory.sas</w:t>
        <w:br/>
        <w:t xml:space="preserve">   ↓</w:t>
        <w:br/>
        <w:t>10_build_adsl.sas</w:t>
        <w:br/>
        <w:t xml:space="preserve">   ↓</w:t>
        <w:br/>
        <w:t>20_qc_adsl.sas</w:t>
        <w:br/>
        <w:t xml:space="preserve">   ↓</w:t>
        <w:br/>
        <w:t>20_build_adae.sas</w:t>
        <w:br/>
        <w:t xml:space="preserve">   ↓</w:t>
        <w:br/>
        <w:t>30_qc_adae.sas</w:t>
        <w:br/>
        <w:t xml:space="preserve">   ↓</w:t>
        <w:br/>
        <w:t>40_teae_incidence.sas</w:t>
        <w:br/>
        <w:t xml:space="preserve">   ↓</w:t>
        <w:br/>
        <w:t>41_teae_severity.sas</w:t>
        <w:br/>
        <w:t xml:space="preserve">   ↓</w:t>
        <w:br/>
        <w:t>50_teae_soc_bar_chart.sas</w:t>
        <w:br/>
        <w:t xml:space="preserve">   ↓</w:t>
        <w:br/>
        <w:t>51_teae_severity_bar_chart.sas</w:t>
      </w:r>
    </w:p>
    <w:p>
      <w:pPr>
        <w:pStyle w:val="Heading2"/>
      </w:pPr>
      <w:r>
        <w:t>Final Portfolio Deliverables</w:t>
      </w:r>
    </w:p>
    <w:p>
      <w:r>
        <w:t>• SDTM Inventory (PDF)</w:t>
        <w:br/>
        <w:t>• ADSL Summary (PDF)</w:t>
        <w:br/>
        <w:t>• ADAE Summary (PDF)</w:t>
        <w:br/>
        <w:t>• ADSL QC Comparison (PDF)</w:t>
        <w:br/>
        <w:t>• ADAE QC Comparison (PDF)</w:t>
        <w:br/>
        <w:t>• TEAE Incidence Table (PDF)</w:t>
        <w:br/>
        <w:t>• TEAE Severity Table (PDF)</w:t>
        <w:br/>
        <w:t>• TEAE SOC Incidence Figure (PNG)</w:t>
        <w:br/>
        <w:t>• TEAE Toxicity Grade Distribution Figure (PNG)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