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19EEA" w14:textId="77777777" w:rsidR="0003249C" w:rsidRPr="0003249C" w:rsidRDefault="0003249C" w:rsidP="00032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2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Regulatory Compliance &amp; Data Governance Architecture</w:t>
      </w:r>
    </w:p>
    <w:p w14:paraId="092A3341" w14:textId="77777777" w:rsidR="0003249C" w:rsidRPr="0003249C" w:rsidRDefault="0003249C" w:rsidP="00032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24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IoT Health Platform – Partnership Risk &amp; Security Design Analysis</w:t>
      </w:r>
    </w:p>
    <w:p w14:paraId="32FCF997" w14:textId="77777777" w:rsidR="0003249C" w:rsidRPr="0003249C" w:rsidRDefault="0003249C" w:rsidP="0003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Author:</w:t>
      </w:r>
      <w:r w:rsidRPr="0003249C">
        <w:rPr>
          <w:rFonts w:ascii="Times New Roman" w:eastAsia="Times New Roman" w:hAnsi="Times New Roman" w:cs="Times New Roman"/>
          <w:kern w:val="0"/>
          <w14:ligatures w14:val="none"/>
        </w:rPr>
        <w:t xml:space="preserve"> April Radcliff</w:t>
      </w:r>
      <w:r w:rsidRPr="000324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324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03249C">
        <w:rPr>
          <w:rFonts w:ascii="Times New Roman" w:eastAsia="Times New Roman" w:hAnsi="Times New Roman" w:cs="Times New Roman"/>
          <w:kern w:val="0"/>
          <w14:ligatures w14:val="none"/>
        </w:rPr>
        <w:t xml:space="preserve"> Security &amp; Compliance Analyst (Independent Project)</w:t>
      </w:r>
      <w:r w:rsidRPr="0003249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324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 Areas:</w:t>
      </w:r>
      <w:r w:rsidRPr="0003249C">
        <w:rPr>
          <w:rFonts w:ascii="Times New Roman" w:eastAsia="Times New Roman" w:hAnsi="Times New Roman" w:cs="Times New Roman"/>
          <w:kern w:val="0"/>
          <w14:ligatures w14:val="none"/>
        </w:rPr>
        <w:t xml:space="preserve"> HIPAA, IoT Security, NIST Alignment, Data Segmentation, Access Control</w:t>
      </w:r>
    </w:p>
    <w:p w14:paraId="2DFFD971" w14:textId="77777777" w:rsidR="0003249C" w:rsidRPr="0003249C" w:rsidRDefault="00345866" w:rsidP="000324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866">
        <w:rPr>
          <w:rFonts w:ascii="Times New Roman" w:eastAsia="Times New Roman" w:hAnsi="Times New Roman" w:cs="Times New Roman"/>
          <w:noProof/>
          <w:kern w:val="0"/>
        </w:rPr>
        <w:pict w14:anchorId="7335C09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B4597BF" w14:textId="77777777" w:rsidR="0003249C" w:rsidRPr="0003249C" w:rsidRDefault="0003249C" w:rsidP="00032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24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47DB501B" w14:textId="77777777" w:rsidR="0003249C" w:rsidRPr="0003249C" w:rsidRDefault="0003249C" w:rsidP="0003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This project evaluates regulatory, security, and ethical considerations surrounding a proposed data-sharing partnership between a health-focused IoT platform (Fit-Vantage) and an insurance provider (Helios).</w:t>
      </w:r>
    </w:p>
    <w:p w14:paraId="439CEDDB" w14:textId="77777777" w:rsidR="0003249C" w:rsidRPr="0003249C" w:rsidRDefault="0003249C" w:rsidP="0003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The objective was to design a security architecture and governance strategy that would allow business expansion while maintaining regulatory compliance, safeguarding protected health information (PHI), and preserving customer trust.</w:t>
      </w:r>
    </w:p>
    <w:p w14:paraId="765DC06C" w14:textId="77777777" w:rsidR="0003249C" w:rsidRPr="0003249C" w:rsidRDefault="0003249C" w:rsidP="0003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The analysis resulted in a recommended compliance architecture emphasizing strict data segregation, de-identification controls, opt-in consent mechanisms, role-based access control (RBAC), and continuous regulatory monitoring aligned with NIST security principles.</w:t>
      </w:r>
    </w:p>
    <w:p w14:paraId="05ABF596" w14:textId="77777777" w:rsidR="0003249C" w:rsidRPr="0003249C" w:rsidRDefault="00345866" w:rsidP="000324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866">
        <w:rPr>
          <w:rFonts w:ascii="Times New Roman" w:eastAsia="Times New Roman" w:hAnsi="Times New Roman" w:cs="Times New Roman"/>
          <w:noProof/>
          <w:kern w:val="0"/>
        </w:rPr>
        <w:pict w14:anchorId="3B7C929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0F922D5" w14:textId="77777777" w:rsidR="0003249C" w:rsidRPr="0003249C" w:rsidRDefault="0003249C" w:rsidP="00032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24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Regulatory Requirements Analysis</w:t>
      </w:r>
    </w:p>
    <w:p w14:paraId="60BA06B7" w14:textId="77777777" w:rsidR="0003249C" w:rsidRPr="0003249C" w:rsidRDefault="0003249C" w:rsidP="0003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The following regulations were identified as directly impacting the proposed partnership:</w:t>
      </w:r>
    </w:p>
    <w:p w14:paraId="5BA0834E" w14:textId="77777777" w:rsidR="0003249C" w:rsidRPr="0003249C" w:rsidRDefault="0003249C" w:rsidP="00032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24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Health Insurance Portability and Accountability Act (HIPAA)</w:t>
      </w:r>
    </w:p>
    <w:p w14:paraId="37DA2599" w14:textId="77777777" w:rsidR="0003249C" w:rsidRPr="0003249C" w:rsidRDefault="0003249C" w:rsidP="0003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HIPAA establishes strict standards for the handling, protection, and transmission of individually identifiable health information (PHI).</w:t>
      </w:r>
    </w:p>
    <w:p w14:paraId="46E12564" w14:textId="77777777" w:rsidR="0003249C" w:rsidRPr="0003249C" w:rsidRDefault="0003249C" w:rsidP="0003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Key implications:</w:t>
      </w:r>
    </w:p>
    <w:p w14:paraId="466439C1" w14:textId="77777777" w:rsidR="0003249C" w:rsidRPr="0003249C" w:rsidRDefault="0003249C" w:rsidP="00032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PHI must be protected from unauthorized disclosure.</w:t>
      </w:r>
    </w:p>
    <w:p w14:paraId="0E088572" w14:textId="77777777" w:rsidR="0003249C" w:rsidRPr="0003249C" w:rsidRDefault="0003249C" w:rsidP="00032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De-identified data may be shared without triggering full HIPAA restrictions.</w:t>
      </w:r>
    </w:p>
    <w:p w14:paraId="77F42234" w14:textId="77777777" w:rsidR="0003249C" w:rsidRPr="0003249C" w:rsidRDefault="0003249C" w:rsidP="00032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Access to PHI must be strictly controlled and logged.</w:t>
      </w:r>
    </w:p>
    <w:p w14:paraId="6BD12324" w14:textId="77777777" w:rsidR="0003249C" w:rsidRPr="0003249C" w:rsidRDefault="0003249C" w:rsidP="00032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Breach notification and documentation procedures must be established.</w:t>
      </w:r>
    </w:p>
    <w:p w14:paraId="513E1ED4" w14:textId="77777777" w:rsidR="0003249C" w:rsidRPr="0003249C" w:rsidRDefault="0003249C" w:rsidP="00032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24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IoT Cybersecurity Improvement Act of 2020</w:t>
      </w:r>
    </w:p>
    <w:p w14:paraId="57318381" w14:textId="77777777" w:rsidR="0003249C" w:rsidRPr="0003249C" w:rsidRDefault="0003249C" w:rsidP="0003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As the platform utilizes Internet of Things (IoT) devices that collect and transmit user health and activity data, it falls under IoT security requirements.</w:t>
      </w:r>
    </w:p>
    <w:p w14:paraId="218ED98F" w14:textId="77777777" w:rsidR="0003249C" w:rsidRPr="0003249C" w:rsidRDefault="0003249C" w:rsidP="0003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Key implications:</w:t>
      </w:r>
    </w:p>
    <w:p w14:paraId="003D19CC" w14:textId="77777777" w:rsidR="0003249C" w:rsidRPr="0003249C" w:rsidRDefault="0003249C" w:rsidP="00032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Devices must follow NIST-aligned security standards.</w:t>
      </w:r>
    </w:p>
    <w:p w14:paraId="4313483A" w14:textId="77777777" w:rsidR="0003249C" w:rsidRPr="0003249C" w:rsidRDefault="0003249C" w:rsidP="00032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Security controls must evolve with emerging threats.</w:t>
      </w:r>
    </w:p>
    <w:p w14:paraId="55C6BDD9" w14:textId="77777777" w:rsidR="0003249C" w:rsidRPr="0003249C" w:rsidRDefault="0003249C" w:rsidP="00032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Risk assessment and vulnerability management must be ongoing.</w:t>
      </w:r>
    </w:p>
    <w:p w14:paraId="446E21D2" w14:textId="77777777" w:rsidR="0003249C" w:rsidRPr="0003249C" w:rsidRDefault="0003249C" w:rsidP="00032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24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NIST Cybersecurity Framework Alignment</w:t>
      </w:r>
    </w:p>
    <w:p w14:paraId="50145605" w14:textId="77777777" w:rsidR="0003249C" w:rsidRPr="0003249C" w:rsidRDefault="0003249C" w:rsidP="0003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The project aligns implementation strategy to the NIST Core Functions:</w:t>
      </w:r>
    </w:p>
    <w:p w14:paraId="3734EAC3" w14:textId="77777777" w:rsidR="0003249C" w:rsidRPr="0003249C" w:rsidRDefault="0003249C" w:rsidP="00032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Identify</w:t>
      </w:r>
    </w:p>
    <w:p w14:paraId="041F18BB" w14:textId="77777777" w:rsidR="0003249C" w:rsidRPr="0003249C" w:rsidRDefault="0003249C" w:rsidP="00032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Protect</w:t>
      </w:r>
    </w:p>
    <w:p w14:paraId="380461E6" w14:textId="77777777" w:rsidR="0003249C" w:rsidRPr="0003249C" w:rsidRDefault="0003249C" w:rsidP="00032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Detect</w:t>
      </w:r>
    </w:p>
    <w:p w14:paraId="1B2C9597" w14:textId="77777777" w:rsidR="0003249C" w:rsidRPr="0003249C" w:rsidRDefault="0003249C" w:rsidP="00032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Respond</w:t>
      </w:r>
    </w:p>
    <w:p w14:paraId="18737DF3" w14:textId="77777777" w:rsidR="0003249C" w:rsidRPr="0003249C" w:rsidRDefault="0003249C" w:rsidP="00032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Recover</w:t>
      </w:r>
    </w:p>
    <w:p w14:paraId="21B3A0AE" w14:textId="77777777" w:rsidR="0003249C" w:rsidRPr="0003249C" w:rsidRDefault="0003249C" w:rsidP="0003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Ongoing compliance requires gap assessments and control validation as new security standards emerge.</w:t>
      </w:r>
    </w:p>
    <w:p w14:paraId="0327FF0B" w14:textId="77777777" w:rsidR="0003249C" w:rsidRPr="0003249C" w:rsidRDefault="00345866" w:rsidP="000324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866">
        <w:rPr>
          <w:rFonts w:ascii="Times New Roman" w:eastAsia="Times New Roman" w:hAnsi="Times New Roman" w:cs="Times New Roman"/>
          <w:noProof/>
          <w:kern w:val="0"/>
        </w:rPr>
        <w:pict w14:anchorId="7B2942B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06FF594" w14:textId="77777777" w:rsidR="0003249C" w:rsidRPr="0003249C" w:rsidRDefault="0003249C" w:rsidP="00032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24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 Architecture Recommendations</w:t>
      </w:r>
    </w:p>
    <w:p w14:paraId="522D0B87" w14:textId="77777777" w:rsidR="0003249C" w:rsidRPr="0003249C" w:rsidRDefault="0003249C" w:rsidP="00032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24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Strict System and Network Segmentation</w:t>
      </w:r>
    </w:p>
    <w:p w14:paraId="252025F1" w14:textId="77777777" w:rsidR="0003249C" w:rsidRPr="0003249C" w:rsidRDefault="0003249C" w:rsidP="0003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To prevent regulatory exposure and minimize breach impact:</w:t>
      </w:r>
    </w:p>
    <w:p w14:paraId="5D5C579B" w14:textId="77777777" w:rsidR="0003249C" w:rsidRPr="0003249C" w:rsidRDefault="0003249C" w:rsidP="00032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Fit-Vantage and Helios systems must remain fully segregated.</w:t>
      </w:r>
    </w:p>
    <w:p w14:paraId="3A99B2F8" w14:textId="77777777" w:rsidR="0003249C" w:rsidRPr="0003249C" w:rsidRDefault="0003249C" w:rsidP="00032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No shared databases.</w:t>
      </w:r>
    </w:p>
    <w:p w14:paraId="3573AFE2" w14:textId="77777777" w:rsidR="0003249C" w:rsidRPr="0003249C" w:rsidRDefault="0003249C" w:rsidP="00032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No shared authentication environments.</w:t>
      </w:r>
    </w:p>
    <w:p w14:paraId="322F3822" w14:textId="77777777" w:rsidR="0003249C" w:rsidRPr="0003249C" w:rsidRDefault="0003249C" w:rsidP="00032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No shared internal servers or cloud infrastructure.</w:t>
      </w:r>
    </w:p>
    <w:p w14:paraId="588951AF" w14:textId="77777777" w:rsidR="0003249C" w:rsidRPr="0003249C" w:rsidRDefault="0003249C" w:rsidP="0003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This segmentation significantly reduces lateral movement risk and limits regulatory scope in the event of compromise.</w:t>
      </w:r>
    </w:p>
    <w:p w14:paraId="270F7E8B" w14:textId="77777777" w:rsidR="0003249C" w:rsidRPr="0003249C" w:rsidRDefault="00345866" w:rsidP="000324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866">
        <w:rPr>
          <w:rFonts w:ascii="Times New Roman" w:eastAsia="Times New Roman" w:hAnsi="Times New Roman" w:cs="Times New Roman"/>
          <w:noProof/>
          <w:kern w:val="0"/>
        </w:rPr>
        <w:pict w14:anchorId="2AB7AF5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876576A" w14:textId="77777777" w:rsidR="0003249C" w:rsidRPr="0003249C" w:rsidRDefault="0003249C" w:rsidP="00032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24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De-Identification &amp; Statistical Reporting Controls</w:t>
      </w:r>
    </w:p>
    <w:p w14:paraId="0F044AD6" w14:textId="77777777" w:rsidR="0003249C" w:rsidRPr="0003249C" w:rsidRDefault="0003249C" w:rsidP="0003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Data shared with Helios must meet strict de-identification standards:</w:t>
      </w:r>
    </w:p>
    <w:p w14:paraId="32B7B89A" w14:textId="77777777" w:rsidR="0003249C" w:rsidRPr="0003249C" w:rsidRDefault="0003249C" w:rsidP="000324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Only aggregated statistical reports may be shared by default.</w:t>
      </w:r>
    </w:p>
    <w:p w14:paraId="4D31C303" w14:textId="77777777" w:rsidR="0003249C" w:rsidRPr="0003249C" w:rsidRDefault="0003249C" w:rsidP="000324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No identifiable data elements included in standard data transfers.</w:t>
      </w:r>
    </w:p>
    <w:p w14:paraId="0913267B" w14:textId="77777777" w:rsidR="0003249C" w:rsidRPr="0003249C" w:rsidRDefault="0003249C" w:rsidP="000324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No user profiles linked to outbound reports.</w:t>
      </w:r>
    </w:p>
    <w:p w14:paraId="3EB7EEBC" w14:textId="77777777" w:rsidR="0003249C" w:rsidRPr="0003249C" w:rsidRDefault="0003249C" w:rsidP="0003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This ensures HIPAA exposure remains minimal unless explicit user authorization is granted.</w:t>
      </w:r>
    </w:p>
    <w:p w14:paraId="314E8906" w14:textId="77777777" w:rsidR="0003249C" w:rsidRPr="0003249C" w:rsidRDefault="00345866" w:rsidP="000324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866">
        <w:rPr>
          <w:rFonts w:ascii="Times New Roman" w:eastAsia="Times New Roman" w:hAnsi="Times New Roman" w:cs="Times New Roman"/>
          <w:noProof/>
          <w:kern w:val="0"/>
        </w:rPr>
        <w:pict w14:anchorId="24E98EA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CEB8625" w14:textId="77777777" w:rsidR="0003249C" w:rsidRPr="0003249C" w:rsidRDefault="0003249C" w:rsidP="00032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24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Opt-In Consent Governance Model</w:t>
      </w:r>
    </w:p>
    <w:p w14:paraId="6286008C" w14:textId="77777777" w:rsidR="0003249C" w:rsidRPr="0003249C" w:rsidRDefault="0003249C" w:rsidP="0003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For users who choose to participate in insurance incentive programs:</w:t>
      </w:r>
    </w:p>
    <w:p w14:paraId="49CFE329" w14:textId="77777777" w:rsidR="0003249C" w:rsidRPr="0003249C" w:rsidRDefault="0003249C" w:rsidP="00032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Explicit opt-in consent required.</w:t>
      </w:r>
    </w:p>
    <w:p w14:paraId="474A6FBD" w14:textId="77777777" w:rsidR="0003249C" w:rsidRPr="0003249C" w:rsidRDefault="0003249C" w:rsidP="00032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Clear plain-language disclosure explaining:</w:t>
      </w:r>
    </w:p>
    <w:p w14:paraId="0DAD8951" w14:textId="77777777" w:rsidR="0003249C" w:rsidRPr="0003249C" w:rsidRDefault="0003249C" w:rsidP="000324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What data is shared</w:t>
      </w:r>
    </w:p>
    <w:p w14:paraId="5579B23B" w14:textId="77777777" w:rsidR="0003249C" w:rsidRPr="0003249C" w:rsidRDefault="0003249C" w:rsidP="000324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Why it is shared</w:t>
      </w:r>
    </w:p>
    <w:p w14:paraId="38B7580D" w14:textId="77777777" w:rsidR="0003249C" w:rsidRPr="0003249C" w:rsidRDefault="0003249C" w:rsidP="000324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Where it is stored</w:t>
      </w:r>
    </w:p>
    <w:p w14:paraId="6CB9C3A9" w14:textId="77777777" w:rsidR="0003249C" w:rsidRPr="0003249C" w:rsidRDefault="0003249C" w:rsidP="000324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Whether deletion is reversible</w:t>
      </w:r>
    </w:p>
    <w:p w14:paraId="2D941B8A" w14:textId="77777777" w:rsidR="0003249C" w:rsidRPr="0003249C" w:rsidRDefault="0003249C" w:rsidP="00032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Consent logging and audit tracking implemented.</w:t>
      </w:r>
    </w:p>
    <w:p w14:paraId="25F13B40" w14:textId="77777777" w:rsidR="0003249C" w:rsidRPr="0003249C" w:rsidRDefault="0003249C" w:rsidP="00032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Opt-out functionality available at any time (with disclosure regarding non-retroactive deletion of previously shared data).</w:t>
      </w:r>
    </w:p>
    <w:p w14:paraId="327ACFFB" w14:textId="77777777" w:rsidR="0003249C" w:rsidRPr="0003249C" w:rsidRDefault="00345866" w:rsidP="000324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866">
        <w:rPr>
          <w:rFonts w:ascii="Times New Roman" w:eastAsia="Times New Roman" w:hAnsi="Times New Roman" w:cs="Times New Roman"/>
          <w:noProof/>
          <w:kern w:val="0"/>
        </w:rPr>
        <w:pict w14:anchorId="2BEBF85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C899FD5" w14:textId="77777777" w:rsidR="0003249C" w:rsidRPr="0003249C" w:rsidRDefault="0003249C" w:rsidP="00032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24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Access Control &amp; Identity Management Design</w:t>
      </w:r>
    </w:p>
    <w:p w14:paraId="36C58B71" w14:textId="77777777" w:rsidR="0003249C" w:rsidRPr="0003249C" w:rsidRDefault="0003249C" w:rsidP="0003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To minimize data exposure and maintain regulatory alignment:</w:t>
      </w:r>
    </w:p>
    <w:p w14:paraId="53833874" w14:textId="77777777" w:rsidR="0003249C" w:rsidRPr="0003249C" w:rsidRDefault="0003249C" w:rsidP="00032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Multi-Factor Authentication (MFA) required for sensitive system access.</w:t>
      </w:r>
    </w:p>
    <w:p w14:paraId="6C19A224" w14:textId="77777777" w:rsidR="0003249C" w:rsidRPr="0003249C" w:rsidRDefault="0003249C" w:rsidP="00032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Role-Based Access Control (RBAC) enforced.</w:t>
      </w:r>
    </w:p>
    <w:p w14:paraId="2E6E1D6A" w14:textId="77777777" w:rsidR="0003249C" w:rsidRPr="0003249C" w:rsidRDefault="0003249C" w:rsidP="00032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Principle of Least Privilege implemented across all roles.</w:t>
      </w:r>
    </w:p>
    <w:p w14:paraId="516B395C" w14:textId="77777777" w:rsidR="0003249C" w:rsidRPr="0003249C" w:rsidRDefault="0003249C" w:rsidP="00032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Separate administrative accounts maintained for elevated privileges.</w:t>
      </w:r>
    </w:p>
    <w:p w14:paraId="19844DB3" w14:textId="77777777" w:rsidR="0003249C" w:rsidRPr="0003249C" w:rsidRDefault="0003249C" w:rsidP="00032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Dormant accounts automatically disabled.</w:t>
      </w:r>
    </w:p>
    <w:p w14:paraId="03A58640" w14:textId="77777777" w:rsidR="0003249C" w:rsidRPr="0003249C" w:rsidRDefault="0003249C" w:rsidP="00032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Quarterly account audit process conducted to identify anomalies.</w:t>
      </w:r>
    </w:p>
    <w:p w14:paraId="001BFDE6" w14:textId="77777777" w:rsidR="0003249C" w:rsidRPr="0003249C" w:rsidRDefault="0003249C" w:rsidP="0003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These measures reduce internal threat exposure and credential compromise risk.</w:t>
      </w:r>
    </w:p>
    <w:p w14:paraId="4CE82051" w14:textId="77777777" w:rsidR="0003249C" w:rsidRPr="0003249C" w:rsidRDefault="00345866" w:rsidP="000324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866">
        <w:rPr>
          <w:rFonts w:ascii="Times New Roman" w:eastAsia="Times New Roman" w:hAnsi="Times New Roman" w:cs="Times New Roman"/>
          <w:noProof/>
          <w:kern w:val="0"/>
        </w:rPr>
        <w:pict w14:anchorId="0C6FE0A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02CB360" w14:textId="77777777" w:rsidR="0003249C" w:rsidRPr="0003249C" w:rsidRDefault="0003249C" w:rsidP="00032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24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Secure Cloud Deployment Model</w:t>
      </w:r>
    </w:p>
    <w:p w14:paraId="4DEA139C" w14:textId="77777777" w:rsidR="0003249C" w:rsidRPr="0003249C" w:rsidRDefault="0003249C" w:rsidP="0003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For users who opt-in to identifiable data sharing:</w:t>
      </w:r>
    </w:p>
    <w:p w14:paraId="27FF282F" w14:textId="77777777" w:rsidR="0003249C" w:rsidRPr="0003249C" w:rsidRDefault="0003249C" w:rsidP="000324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Identifiable data transmitted to a dedicated Helios-controlled secure cloud environment.</w:t>
      </w:r>
    </w:p>
    <w:p w14:paraId="02B55324" w14:textId="77777777" w:rsidR="0003249C" w:rsidRPr="0003249C" w:rsidRDefault="0003249C" w:rsidP="000324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That environment operates under Helios’ HIPAA compliance umbrella.</w:t>
      </w:r>
    </w:p>
    <w:p w14:paraId="01434B2C" w14:textId="77777777" w:rsidR="0003249C" w:rsidRPr="0003249C" w:rsidRDefault="0003249C" w:rsidP="000324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Firewall and strict access segmentation controls enforced.</w:t>
      </w:r>
    </w:p>
    <w:p w14:paraId="0DA78838" w14:textId="77777777" w:rsidR="0003249C" w:rsidRPr="0003249C" w:rsidRDefault="0003249C" w:rsidP="000324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Logging, monitoring, and alerting implemented to detect unauthorized access attempts.</w:t>
      </w:r>
    </w:p>
    <w:p w14:paraId="6F217D6A" w14:textId="77777777" w:rsidR="0003249C" w:rsidRPr="0003249C" w:rsidRDefault="0003249C" w:rsidP="0003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By isolating identifiable data within Helios-controlled infrastructure, regulatory accountability is appropriately partitioned.</w:t>
      </w:r>
    </w:p>
    <w:p w14:paraId="72D5379C" w14:textId="77777777" w:rsidR="0003249C" w:rsidRPr="0003249C" w:rsidRDefault="00345866" w:rsidP="000324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866">
        <w:rPr>
          <w:rFonts w:ascii="Times New Roman" w:eastAsia="Times New Roman" w:hAnsi="Times New Roman" w:cs="Times New Roman"/>
          <w:noProof/>
          <w:kern w:val="0"/>
        </w:rPr>
        <w:pict w14:anchorId="0E5C1A9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8C3417F" w14:textId="77777777" w:rsidR="0003249C" w:rsidRPr="0003249C" w:rsidRDefault="0003249C" w:rsidP="00032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24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&amp; Compliance Impact Assessment</w:t>
      </w:r>
    </w:p>
    <w:p w14:paraId="75B49FA4" w14:textId="77777777" w:rsidR="0003249C" w:rsidRPr="0003249C" w:rsidRDefault="0003249C" w:rsidP="0003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The implementation of this architecture requires coordination between:</w:t>
      </w:r>
    </w:p>
    <w:p w14:paraId="2D5D562F" w14:textId="77777777" w:rsidR="0003249C" w:rsidRPr="0003249C" w:rsidRDefault="0003249C" w:rsidP="000324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Legal team (regulatory monitoring)</w:t>
      </w:r>
    </w:p>
    <w:p w14:paraId="70C0096F" w14:textId="77777777" w:rsidR="0003249C" w:rsidRPr="0003249C" w:rsidRDefault="0003249C" w:rsidP="000324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Compliance team (policy updates)</w:t>
      </w:r>
    </w:p>
    <w:p w14:paraId="1236E8A7" w14:textId="77777777" w:rsidR="0003249C" w:rsidRPr="0003249C" w:rsidRDefault="0003249C" w:rsidP="000324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Security team (control implementation)</w:t>
      </w:r>
    </w:p>
    <w:p w14:paraId="5F8815C6" w14:textId="77777777" w:rsidR="0003249C" w:rsidRPr="0003249C" w:rsidRDefault="0003249C" w:rsidP="000324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Product and design teams (user disclosure clarity)</w:t>
      </w:r>
    </w:p>
    <w:p w14:paraId="02B8353C" w14:textId="77777777" w:rsidR="0003249C" w:rsidRPr="0003249C" w:rsidRDefault="0003249C" w:rsidP="0003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Additional operational measures recommended:</w:t>
      </w:r>
    </w:p>
    <w:p w14:paraId="6FDEEC47" w14:textId="77777777" w:rsidR="0003249C" w:rsidRPr="0003249C" w:rsidRDefault="0003249C" w:rsidP="000324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Customer support hotline for privacy questions</w:t>
      </w:r>
    </w:p>
    <w:p w14:paraId="561B4373" w14:textId="77777777" w:rsidR="0003249C" w:rsidRPr="0003249C" w:rsidRDefault="0003249C" w:rsidP="000324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Plain-language consent redesign</w:t>
      </w:r>
    </w:p>
    <w:p w14:paraId="6EF77382" w14:textId="77777777" w:rsidR="0003249C" w:rsidRPr="0003249C" w:rsidRDefault="0003249C" w:rsidP="000324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Ongoing regulatory review cycle</w:t>
      </w:r>
    </w:p>
    <w:p w14:paraId="26172F2D" w14:textId="77777777" w:rsidR="0003249C" w:rsidRPr="0003249C" w:rsidRDefault="0003249C" w:rsidP="0003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Minimal long-term operational burden expected beyond initial configuration phase.</w:t>
      </w:r>
    </w:p>
    <w:p w14:paraId="627988DE" w14:textId="77777777" w:rsidR="0003249C" w:rsidRPr="0003249C" w:rsidRDefault="00345866" w:rsidP="000324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866">
        <w:rPr>
          <w:rFonts w:ascii="Times New Roman" w:eastAsia="Times New Roman" w:hAnsi="Times New Roman" w:cs="Times New Roman"/>
          <w:noProof/>
          <w:kern w:val="0"/>
        </w:rPr>
        <w:pict w14:anchorId="5885704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B849D57" w14:textId="77777777" w:rsidR="0003249C" w:rsidRPr="0003249C" w:rsidRDefault="0003249C" w:rsidP="00032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24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Ethical Governance Considerations</w:t>
      </w:r>
    </w:p>
    <w:p w14:paraId="5994F3A3" w14:textId="77777777" w:rsidR="0003249C" w:rsidRPr="0003249C" w:rsidRDefault="0003249C" w:rsidP="0003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Ethical alignment requires:</w:t>
      </w:r>
    </w:p>
    <w:p w14:paraId="425396BF" w14:textId="77777777" w:rsidR="0003249C" w:rsidRPr="0003249C" w:rsidRDefault="0003249C" w:rsidP="000324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Full transparency in data usage.</w:t>
      </w:r>
    </w:p>
    <w:p w14:paraId="1BCAF1C2" w14:textId="77777777" w:rsidR="0003249C" w:rsidRPr="0003249C" w:rsidRDefault="0003249C" w:rsidP="000324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Clear opt-in/opt-out control.</w:t>
      </w:r>
    </w:p>
    <w:p w14:paraId="53A9672F" w14:textId="77777777" w:rsidR="0003249C" w:rsidRPr="0003249C" w:rsidRDefault="0003249C" w:rsidP="000324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Non-coercive consent mechanisms.</w:t>
      </w:r>
    </w:p>
    <w:p w14:paraId="24E84965" w14:textId="77777777" w:rsidR="0003249C" w:rsidRPr="0003249C" w:rsidRDefault="0003249C" w:rsidP="000324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Continuous monitoring of customer sentiment and trust metrics.</w:t>
      </w:r>
    </w:p>
    <w:p w14:paraId="7E5480ED" w14:textId="77777777" w:rsidR="0003249C" w:rsidRPr="0003249C" w:rsidRDefault="0003249C" w:rsidP="0003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Business expansion must not override privacy safeguards. Maintaining transparency protects both user trust and brand integrity.</w:t>
      </w:r>
    </w:p>
    <w:p w14:paraId="0AE3111E" w14:textId="77777777" w:rsidR="0003249C" w:rsidRPr="0003249C" w:rsidRDefault="00345866" w:rsidP="000324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866">
        <w:rPr>
          <w:rFonts w:ascii="Times New Roman" w:eastAsia="Times New Roman" w:hAnsi="Times New Roman" w:cs="Times New Roman"/>
          <w:noProof/>
          <w:kern w:val="0"/>
        </w:rPr>
        <w:pict w14:anchorId="73A50B7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145988" w14:textId="77777777" w:rsidR="0003249C" w:rsidRPr="0003249C" w:rsidRDefault="0003249C" w:rsidP="00032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24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Mitigation Summary</w:t>
      </w:r>
    </w:p>
    <w:p w14:paraId="5BBB81A2" w14:textId="77777777" w:rsidR="0003249C" w:rsidRPr="0003249C" w:rsidRDefault="0003249C" w:rsidP="0003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Primary risks addressed:</w:t>
      </w:r>
    </w:p>
    <w:p w14:paraId="43690BC7" w14:textId="77777777" w:rsidR="0003249C" w:rsidRPr="0003249C" w:rsidRDefault="0003249C" w:rsidP="000324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Unauthorized PHI exposure</w:t>
      </w:r>
    </w:p>
    <w:p w14:paraId="2FF5A8A9" w14:textId="77777777" w:rsidR="0003249C" w:rsidRPr="0003249C" w:rsidRDefault="0003249C" w:rsidP="000324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HIPAA violation liability</w:t>
      </w:r>
    </w:p>
    <w:p w14:paraId="7E542D4A" w14:textId="77777777" w:rsidR="0003249C" w:rsidRPr="0003249C" w:rsidRDefault="0003249C" w:rsidP="000324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Third-party integration lateral movement</w:t>
      </w:r>
    </w:p>
    <w:p w14:paraId="7E5A5E2C" w14:textId="77777777" w:rsidR="0003249C" w:rsidRPr="0003249C" w:rsidRDefault="0003249C" w:rsidP="000324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Consent ambiguity</w:t>
      </w:r>
    </w:p>
    <w:p w14:paraId="6BDBCC92" w14:textId="77777777" w:rsidR="0003249C" w:rsidRPr="0003249C" w:rsidRDefault="0003249C" w:rsidP="000324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Internal privilege escalation</w:t>
      </w:r>
    </w:p>
    <w:p w14:paraId="6A43F05A" w14:textId="77777777" w:rsidR="0003249C" w:rsidRPr="0003249C" w:rsidRDefault="0003249C" w:rsidP="000324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Inadequate breach response preparation</w:t>
      </w:r>
    </w:p>
    <w:p w14:paraId="4B689B84" w14:textId="77777777" w:rsidR="0003249C" w:rsidRPr="0003249C" w:rsidRDefault="0003249C" w:rsidP="0003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Mitigation strategy centers on segmentation, authentication hardening, audit processes, and regulatory alignment.</w:t>
      </w:r>
    </w:p>
    <w:p w14:paraId="0722E33C" w14:textId="77777777" w:rsidR="0003249C" w:rsidRPr="0003249C" w:rsidRDefault="00345866" w:rsidP="000324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866">
        <w:rPr>
          <w:rFonts w:ascii="Times New Roman" w:eastAsia="Times New Roman" w:hAnsi="Times New Roman" w:cs="Times New Roman"/>
          <w:noProof/>
          <w:kern w:val="0"/>
        </w:rPr>
        <w:pict w14:anchorId="7CF0E6A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07424D3" w14:textId="77777777" w:rsidR="0003249C" w:rsidRPr="0003249C" w:rsidRDefault="0003249C" w:rsidP="00032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24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62B59D0C" w14:textId="77777777" w:rsidR="0003249C" w:rsidRPr="0003249C" w:rsidRDefault="0003249C" w:rsidP="0003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The proposed partnership can proceed safely if implemented within a structured compliance architecture emphasizing:</w:t>
      </w:r>
    </w:p>
    <w:p w14:paraId="6C56D2DD" w14:textId="77777777" w:rsidR="0003249C" w:rsidRPr="0003249C" w:rsidRDefault="0003249C" w:rsidP="000324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Data de-identification</w:t>
      </w:r>
    </w:p>
    <w:p w14:paraId="59E44BA4" w14:textId="77777777" w:rsidR="0003249C" w:rsidRPr="0003249C" w:rsidRDefault="0003249C" w:rsidP="000324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Strict system segregation</w:t>
      </w:r>
    </w:p>
    <w:p w14:paraId="2636A6E0" w14:textId="77777777" w:rsidR="0003249C" w:rsidRPr="0003249C" w:rsidRDefault="0003249C" w:rsidP="000324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Role-based access enforcement</w:t>
      </w:r>
    </w:p>
    <w:p w14:paraId="19ACA01E" w14:textId="77777777" w:rsidR="0003249C" w:rsidRPr="0003249C" w:rsidRDefault="0003249C" w:rsidP="000324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MFA implementation</w:t>
      </w:r>
    </w:p>
    <w:p w14:paraId="0E874FFB" w14:textId="77777777" w:rsidR="0003249C" w:rsidRPr="0003249C" w:rsidRDefault="0003249C" w:rsidP="000324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Continuous regulatory monitoring</w:t>
      </w:r>
    </w:p>
    <w:p w14:paraId="781402AF" w14:textId="77777777" w:rsidR="0003249C" w:rsidRPr="0003249C" w:rsidRDefault="0003249C" w:rsidP="000324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Transparent consent governance</w:t>
      </w:r>
    </w:p>
    <w:p w14:paraId="32B7DDC0" w14:textId="77777777" w:rsidR="0003249C" w:rsidRPr="0003249C" w:rsidRDefault="0003249C" w:rsidP="0003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49C">
        <w:rPr>
          <w:rFonts w:ascii="Times New Roman" w:eastAsia="Times New Roman" w:hAnsi="Times New Roman" w:cs="Times New Roman"/>
          <w:kern w:val="0"/>
          <w14:ligatures w14:val="none"/>
        </w:rPr>
        <w:t>With these safeguards in place, the organization can expand revenue opportunities while protecting user privacy and maintaining compliance with federal regulations.</w:t>
      </w:r>
    </w:p>
    <w:p w14:paraId="00D4A4A6" w14:textId="77777777" w:rsidR="0003249C" w:rsidRDefault="0003249C"/>
    <w:sectPr w:rsidR="00032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3FFB"/>
    <w:multiLevelType w:val="multilevel"/>
    <w:tmpl w:val="778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041BA"/>
    <w:multiLevelType w:val="multilevel"/>
    <w:tmpl w:val="760A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755B8"/>
    <w:multiLevelType w:val="multilevel"/>
    <w:tmpl w:val="9C82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D547D"/>
    <w:multiLevelType w:val="multilevel"/>
    <w:tmpl w:val="0A00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50C13"/>
    <w:multiLevelType w:val="multilevel"/>
    <w:tmpl w:val="BB10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70D4F"/>
    <w:multiLevelType w:val="multilevel"/>
    <w:tmpl w:val="6E10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9445D"/>
    <w:multiLevelType w:val="multilevel"/>
    <w:tmpl w:val="EE9C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41793"/>
    <w:multiLevelType w:val="multilevel"/>
    <w:tmpl w:val="434E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323AE"/>
    <w:multiLevelType w:val="multilevel"/>
    <w:tmpl w:val="EF82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33F00"/>
    <w:multiLevelType w:val="multilevel"/>
    <w:tmpl w:val="64E6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661631"/>
    <w:multiLevelType w:val="multilevel"/>
    <w:tmpl w:val="0714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011179"/>
    <w:multiLevelType w:val="multilevel"/>
    <w:tmpl w:val="041A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6046C"/>
    <w:multiLevelType w:val="multilevel"/>
    <w:tmpl w:val="A59C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279992">
    <w:abstractNumId w:val="11"/>
  </w:num>
  <w:num w:numId="2" w16cid:durableId="1837064211">
    <w:abstractNumId w:val="9"/>
  </w:num>
  <w:num w:numId="3" w16cid:durableId="1375816242">
    <w:abstractNumId w:val="12"/>
  </w:num>
  <w:num w:numId="4" w16cid:durableId="1524590510">
    <w:abstractNumId w:val="5"/>
  </w:num>
  <w:num w:numId="5" w16cid:durableId="737166844">
    <w:abstractNumId w:val="10"/>
  </w:num>
  <w:num w:numId="6" w16cid:durableId="662780089">
    <w:abstractNumId w:val="6"/>
  </w:num>
  <w:num w:numId="7" w16cid:durableId="133330771">
    <w:abstractNumId w:val="8"/>
  </w:num>
  <w:num w:numId="8" w16cid:durableId="1265384688">
    <w:abstractNumId w:val="1"/>
  </w:num>
  <w:num w:numId="9" w16cid:durableId="822038727">
    <w:abstractNumId w:val="0"/>
  </w:num>
  <w:num w:numId="10" w16cid:durableId="1557275386">
    <w:abstractNumId w:val="7"/>
  </w:num>
  <w:num w:numId="11" w16cid:durableId="626199139">
    <w:abstractNumId w:val="2"/>
  </w:num>
  <w:num w:numId="12" w16cid:durableId="1939679575">
    <w:abstractNumId w:val="3"/>
  </w:num>
  <w:num w:numId="13" w16cid:durableId="1289797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9C"/>
    <w:rsid w:val="0003249C"/>
    <w:rsid w:val="00345866"/>
    <w:rsid w:val="008B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94FD8"/>
  <w15:chartTrackingRefBased/>
  <w15:docId w15:val="{9B348761-9905-B64A-B297-E85AB8361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2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2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2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2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4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2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324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759</Words>
  <Characters>5467</Characters>
  <Application>Microsoft Office Word</Application>
  <DocSecurity>0</DocSecurity>
  <Lines>136</Lines>
  <Paragraphs>119</Paragraphs>
  <ScaleCrop>false</ScaleCrop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April Radcliff</dc:creator>
  <cp:keywords/>
  <dc:description/>
  <cp:lastModifiedBy>April Radcliff</cp:lastModifiedBy>
  <cp:revision>1</cp:revision>
  <dcterms:created xsi:type="dcterms:W3CDTF">2026-03-03T03:09:00Z</dcterms:created>
  <dcterms:modified xsi:type="dcterms:W3CDTF">2026-03-03T03:10:00Z</dcterms:modified>
</cp:coreProperties>
</file>