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D28A8" w14:textId="77777777" w:rsidR="005E367F" w:rsidRPr="005E367F" w:rsidRDefault="005E367F" w:rsidP="005E36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367F">
        <w:rPr>
          <w:rFonts w:ascii="Times New Roman" w:eastAsia="Times New Roman" w:hAnsi="Times New Roman" w:cs="Times New Roman"/>
          <w:b/>
          <w:bCs/>
          <w:kern w:val="36"/>
          <w:sz w:val="48"/>
          <w:szCs w:val="48"/>
          <w14:ligatures w14:val="none"/>
        </w:rPr>
        <w:t>CIS Controls Implementation &amp; Access Governance Framework</w:t>
      </w:r>
    </w:p>
    <w:p w14:paraId="450D5E51"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Service-Level Security Requirements for IoT Health Platform Partnership</w:t>
      </w:r>
    </w:p>
    <w:p w14:paraId="2CE8267E"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Author:</w:t>
      </w:r>
      <w:r w:rsidRPr="005E367F">
        <w:rPr>
          <w:rFonts w:ascii="Times New Roman" w:eastAsia="Times New Roman" w:hAnsi="Times New Roman" w:cs="Times New Roman"/>
          <w:kern w:val="0"/>
          <w14:ligatures w14:val="none"/>
        </w:rPr>
        <w:t xml:space="preserve"> April Radcliff</w:t>
      </w:r>
      <w:r w:rsidRPr="005E367F">
        <w:rPr>
          <w:rFonts w:ascii="Times New Roman" w:eastAsia="Times New Roman" w:hAnsi="Times New Roman" w:cs="Times New Roman"/>
          <w:kern w:val="0"/>
          <w14:ligatures w14:val="none"/>
        </w:rPr>
        <w:br/>
      </w:r>
      <w:r w:rsidRPr="005E367F">
        <w:rPr>
          <w:rFonts w:ascii="Times New Roman" w:eastAsia="Times New Roman" w:hAnsi="Times New Roman" w:cs="Times New Roman"/>
          <w:b/>
          <w:bCs/>
          <w:kern w:val="0"/>
          <w14:ligatures w14:val="none"/>
        </w:rPr>
        <w:t>Role:</w:t>
      </w:r>
      <w:r w:rsidRPr="005E367F">
        <w:rPr>
          <w:rFonts w:ascii="Times New Roman" w:eastAsia="Times New Roman" w:hAnsi="Times New Roman" w:cs="Times New Roman"/>
          <w:kern w:val="0"/>
          <w14:ligatures w14:val="none"/>
        </w:rPr>
        <w:t xml:space="preserve"> Security &amp; Compliance Analyst (Independent Project)</w:t>
      </w:r>
      <w:r w:rsidRPr="005E367F">
        <w:rPr>
          <w:rFonts w:ascii="Times New Roman" w:eastAsia="Times New Roman" w:hAnsi="Times New Roman" w:cs="Times New Roman"/>
          <w:kern w:val="0"/>
          <w14:ligatures w14:val="none"/>
        </w:rPr>
        <w:br/>
      </w:r>
      <w:r w:rsidRPr="005E367F">
        <w:rPr>
          <w:rFonts w:ascii="Times New Roman" w:eastAsia="Times New Roman" w:hAnsi="Times New Roman" w:cs="Times New Roman"/>
          <w:b/>
          <w:bCs/>
          <w:kern w:val="0"/>
          <w14:ligatures w14:val="none"/>
        </w:rPr>
        <w:t>Focus Areas:</w:t>
      </w:r>
      <w:r w:rsidRPr="005E367F">
        <w:rPr>
          <w:rFonts w:ascii="Times New Roman" w:eastAsia="Times New Roman" w:hAnsi="Times New Roman" w:cs="Times New Roman"/>
          <w:kern w:val="0"/>
          <w14:ligatures w14:val="none"/>
        </w:rPr>
        <w:t xml:space="preserve"> CIS Controls, RBAC, MFA, Access Governance, Security Awareness</w:t>
      </w:r>
    </w:p>
    <w:p w14:paraId="61196AD1"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685A374D">
          <v:rect id="_x0000_i1033" alt="" style="width:468pt;height:.05pt;mso-width-percent:0;mso-height-percent:0;mso-width-percent:0;mso-height-percent:0" o:hralign="center" o:hrstd="t" o:hr="t" fillcolor="#a0a0a0" stroked="f"/>
        </w:pict>
      </w:r>
    </w:p>
    <w:p w14:paraId="2723B2DD"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Executive Summary</w:t>
      </w:r>
    </w:p>
    <w:p w14:paraId="1F918115"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This project establishes security requirements for a service-level agreement (SLA) between an IoT health platform (Fit-Vantage) and an insurance partner (Helios).</w:t>
      </w:r>
    </w:p>
    <w:p w14:paraId="2C11D055"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The objective was to define actionable control requirements aligned with the Center for Internet Security (CIS) Controls to reduce risk exposure, protect sensitive data, and ensure operational security across organizational boundaries.</w:t>
      </w:r>
    </w:p>
    <w:p w14:paraId="42720E37"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The resulting framework focuses on access lifecycle management, least privilege enforcement, multi-factor authentication (MFA), automation of dormant account handling, and structured security awareness training to mitigate social engineering threats.</w:t>
      </w:r>
    </w:p>
    <w:p w14:paraId="2C983CCF"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28802A64">
          <v:rect id="_x0000_i1032" alt="" style="width:468pt;height:.05pt;mso-width-percent:0;mso-height-percent:0;mso-width-percent:0;mso-height-percent:0" o:hralign="center" o:hrstd="t" o:hr="t" fillcolor="#a0a0a0" stroked="f"/>
        </w:pict>
      </w:r>
    </w:p>
    <w:p w14:paraId="67618918"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Control Framework Alignment</w:t>
      </w:r>
    </w:p>
    <w:p w14:paraId="23D54AE4"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This security framework prioritizes the following CIS Controls:</w:t>
      </w:r>
    </w:p>
    <w:p w14:paraId="48A6D941" w14:textId="77777777" w:rsidR="005E367F" w:rsidRPr="005E367F" w:rsidRDefault="005E367F" w:rsidP="005E36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Control 5: Account Management</w:t>
      </w:r>
    </w:p>
    <w:p w14:paraId="43E976F1" w14:textId="77777777" w:rsidR="005E367F" w:rsidRPr="005E367F" w:rsidRDefault="005E367F" w:rsidP="005E36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Control 6: Access Control Management</w:t>
      </w:r>
    </w:p>
    <w:p w14:paraId="6E84DDB4" w14:textId="77777777" w:rsidR="005E367F" w:rsidRPr="005E367F" w:rsidRDefault="005E367F" w:rsidP="005E36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Control 14: Security Awareness and Skills Training</w:t>
      </w:r>
    </w:p>
    <w:p w14:paraId="7A3A40A4"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Each control area was translated into specific operational requirements suitable for SLA enforcement.</w:t>
      </w:r>
    </w:p>
    <w:p w14:paraId="27CED654"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5DBD339D">
          <v:rect id="_x0000_i1031" alt="" style="width:468pt;height:.05pt;mso-width-percent:0;mso-height-percent:0;mso-width-percent:0;mso-height-percent:0" o:hralign="center" o:hrstd="t" o:hr="t" fillcolor="#a0a0a0" stroked="f"/>
        </w:pict>
      </w:r>
    </w:p>
    <w:p w14:paraId="45012D02"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Control 5: Account Lifecycle Management</w:t>
      </w:r>
    </w:p>
    <w:p w14:paraId="59286D0F"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Objectives:</w:t>
      </w:r>
    </w:p>
    <w:p w14:paraId="7EECAF4A" w14:textId="77777777" w:rsidR="005E367F" w:rsidRPr="005E367F" w:rsidRDefault="005E367F" w:rsidP="005E36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lastRenderedPageBreak/>
        <w:t>Prevent unauthorized system access</w:t>
      </w:r>
    </w:p>
    <w:p w14:paraId="590D97BA" w14:textId="77777777" w:rsidR="005E367F" w:rsidRPr="005E367F" w:rsidRDefault="005E367F" w:rsidP="005E36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Reduce internal threat surface</w:t>
      </w:r>
    </w:p>
    <w:p w14:paraId="79829F58" w14:textId="77777777" w:rsidR="005E367F" w:rsidRPr="005E367F" w:rsidRDefault="005E367F" w:rsidP="005E36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Limit privilege escalation pathways</w:t>
      </w:r>
    </w:p>
    <w:p w14:paraId="2327FEF0"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Implementation Requirements:</w:t>
      </w:r>
    </w:p>
    <w:p w14:paraId="506BFC5A" w14:textId="77777777" w:rsidR="005E367F" w:rsidRPr="005E367F" w:rsidRDefault="005E367F" w:rsidP="005E36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Strict System Segmentation</w:t>
      </w:r>
    </w:p>
    <w:p w14:paraId="59BCE741"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No shared authentication environments between partnering organizations.</w:t>
      </w:r>
    </w:p>
    <w:p w14:paraId="3F008B4B"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Separate identity stores and access management systems.</w:t>
      </w:r>
    </w:p>
    <w:p w14:paraId="12EC9E8E" w14:textId="77777777" w:rsidR="005E367F" w:rsidRPr="005E367F" w:rsidRDefault="005E367F" w:rsidP="005E36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Strong Authentication Standards</w:t>
      </w:r>
    </w:p>
    <w:p w14:paraId="1A8B6D0E"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Password complexity requirements (minimum 9+ characters).</w:t>
      </w:r>
    </w:p>
    <w:p w14:paraId="71E35FCA"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Mandatory Multi-Factor Authentication (MFA) for all privileged and sensitive access.</w:t>
      </w:r>
    </w:p>
    <w:p w14:paraId="3ADEC0F1" w14:textId="77777777" w:rsidR="005E367F" w:rsidRPr="005E367F" w:rsidRDefault="005E367F" w:rsidP="005E36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Automated Dormant Account Management</w:t>
      </w:r>
    </w:p>
    <w:p w14:paraId="0E9CC16F"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Automatic disabling of inactive accounts.</w:t>
      </w:r>
    </w:p>
    <w:p w14:paraId="2EB577AC"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Immediate revocation of accounts during employee separation.</w:t>
      </w:r>
    </w:p>
    <w:p w14:paraId="02BCCBBE"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Temporary suspension policies during extended leave.</w:t>
      </w:r>
    </w:p>
    <w:p w14:paraId="1FE0EBBA" w14:textId="77777777" w:rsidR="005E367F" w:rsidRPr="005E367F" w:rsidRDefault="005E367F" w:rsidP="005E36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Quarterly Access Audits</w:t>
      </w:r>
    </w:p>
    <w:p w14:paraId="12BFFECA"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Review of all active accounts.</w:t>
      </w:r>
    </w:p>
    <w:p w14:paraId="6A9E490C"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Verification of role alignment.</w:t>
      </w:r>
    </w:p>
    <w:p w14:paraId="55653E01" w14:textId="77777777" w:rsidR="005E367F" w:rsidRPr="005E367F" w:rsidRDefault="005E367F" w:rsidP="005E36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Administrator privilege review and justification documentation.</w:t>
      </w:r>
    </w:p>
    <w:p w14:paraId="280894BD"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These measures reduce credential misuse and lateral movement risk.</w:t>
      </w:r>
    </w:p>
    <w:p w14:paraId="6C3EF179"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06B50047">
          <v:rect id="_x0000_i1030" alt="" style="width:468pt;height:.05pt;mso-width-percent:0;mso-height-percent:0;mso-width-percent:0;mso-height-percent:0" o:hralign="center" o:hrstd="t" o:hr="t" fillcolor="#a0a0a0" stroked="f"/>
        </w:pict>
      </w:r>
    </w:p>
    <w:p w14:paraId="45C28E7E"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Control 6: Access Control Management (RBAC &amp; Privilege Governance)</w:t>
      </w:r>
    </w:p>
    <w:p w14:paraId="53E14207"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Objectives:</w:t>
      </w:r>
    </w:p>
    <w:p w14:paraId="03AEE09C" w14:textId="77777777" w:rsidR="005E367F" w:rsidRPr="005E367F" w:rsidRDefault="005E367F" w:rsidP="005E36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Enforce least privilege</w:t>
      </w:r>
    </w:p>
    <w:p w14:paraId="66EB80E2" w14:textId="77777777" w:rsidR="005E367F" w:rsidRPr="005E367F" w:rsidRDefault="005E367F" w:rsidP="005E36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Minimize data exposure</w:t>
      </w:r>
    </w:p>
    <w:p w14:paraId="73BC517D" w14:textId="77777777" w:rsidR="005E367F" w:rsidRPr="005E367F" w:rsidRDefault="005E367F" w:rsidP="005E36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Limit blast radius during incidents</w:t>
      </w:r>
    </w:p>
    <w:p w14:paraId="1A8F1E20"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Implementation Requirements:</w:t>
      </w:r>
    </w:p>
    <w:p w14:paraId="7F8372E2" w14:textId="77777777" w:rsidR="005E367F" w:rsidRPr="005E367F" w:rsidRDefault="005E367F" w:rsidP="005E36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Role-Based Access Control (RBAC)</w:t>
      </w:r>
    </w:p>
    <w:p w14:paraId="70DB5052"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Access rights defined by job function.</w:t>
      </w:r>
    </w:p>
    <w:p w14:paraId="28A53C2C"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Privileges restricted to operational necessity.</w:t>
      </w:r>
    </w:p>
    <w:p w14:paraId="66022A7D"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Administrative privileges assigned only through dedicated accounts.</w:t>
      </w:r>
    </w:p>
    <w:p w14:paraId="7C24FAB0" w14:textId="77777777" w:rsidR="005E367F" w:rsidRPr="005E367F" w:rsidRDefault="005E367F" w:rsidP="005E36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Multi-Layer MFA Enforcement</w:t>
      </w:r>
    </w:p>
    <w:p w14:paraId="31B226C0"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MFA required at initial login.</w:t>
      </w:r>
    </w:p>
    <w:p w14:paraId="1A85747C"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Step-up authentication for access to sensitive datasets.</w:t>
      </w:r>
    </w:p>
    <w:p w14:paraId="0CD27FA2" w14:textId="77777777" w:rsidR="005E367F" w:rsidRPr="005E367F" w:rsidRDefault="005E367F" w:rsidP="005E36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Remote Access Control</w:t>
      </w:r>
    </w:p>
    <w:p w14:paraId="02772161"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lastRenderedPageBreak/>
        <w:t>Secure remote access through VPN with logging.</w:t>
      </w:r>
    </w:p>
    <w:p w14:paraId="2F482A35"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Device validation before granting access to internal resources.</w:t>
      </w:r>
    </w:p>
    <w:p w14:paraId="7E87EDEC" w14:textId="77777777" w:rsidR="005E367F" w:rsidRPr="005E367F" w:rsidRDefault="005E367F" w:rsidP="005E36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Access Provisioning Automation</w:t>
      </w:r>
    </w:p>
    <w:p w14:paraId="3FBF7032"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Role-based provisioning workflows.</w:t>
      </w:r>
    </w:p>
    <w:p w14:paraId="2E3FF293"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Automated access revocation when role changes occur.</w:t>
      </w:r>
    </w:p>
    <w:p w14:paraId="6649C505" w14:textId="77777777" w:rsidR="005E367F" w:rsidRPr="005E367F" w:rsidRDefault="005E367F" w:rsidP="005E36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Audit trail maintained for compliance documentation.</w:t>
      </w:r>
    </w:p>
    <w:p w14:paraId="371845EE"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By restricting unnecessary access and enforcing authentication controls, overall attack surface is significantly reduced.</w:t>
      </w:r>
    </w:p>
    <w:p w14:paraId="393F91A1"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2F4C2525">
          <v:rect id="_x0000_i1029" alt="" style="width:468pt;height:.05pt;mso-width-percent:0;mso-height-percent:0;mso-width-percent:0;mso-height-percent:0" o:hralign="center" o:hrstd="t" o:hr="t" fillcolor="#a0a0a0" stroked="f"/>
        </w:pict>
      </w:r>
    </w:p>
    <w:p w14:paraId="56C2A2FB"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Control 14: Security Awareness &amp; Social Engineering Defense</w:t>
      </w:r>
    </w:p>
    <w:p w14:paraId="03F35AB1"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Human error remains one of the largest risk factors in cybersecurity incidents. The SLA requires structured and recurring security training.</w:t>
      </w:r>
    </w:p>
    <w:p w14:paraId="29EAF42C"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Training Program Requirements:</w:t>
      </w:r>
    </w:p>
    <w:p w14:paraId="35A5F47B" w14:textId="77777777" w:rsidR="005E367F" w:rsidRPr="005E367F" w:rsidRDefault="005E367F" w:rsidP="005E36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Annual mandatory cybersecurity training for all employees</w:t>
      </w:r>
    </w:p>
    <w:p w14:paraId="3AA0EAE0" w14:textId="77777777" w:rsidR="005E367F" w:rsidRPr="005E367F" w:rsidRDefault="005E367F" w:rsidP="005E36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Quarterly phishing simulations</w:t>
      </w:r>
    </w:p>
    <w:p w14:paraId="4A5F6532" w14:textId="77777777" w:rsidR="005E367F" w:rsidRPr="005E367F" w:rsidRDefault="005E367F" w:rsidP="005E36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Reporting protocol training</w:t>
      </w:r>
    </w:p>
    <w:p w14:paraId="48BA167D" w14:textId="77777777" w:rsidR="005E367F" w:rsidRPr="005E367F" w:rsidRDefault="005E367F" w:rsidP="005E36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Reinforcement of “zero-tailgating” physical access policy</w:t>
      </w:r>
    </w:p>
    <w:p w14:paraId="25FDA5C2"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Threat Focus Areas:</w:t>
      </w:r>
    </w:p>
    <w:p w14:paraId="0ECCCFFB" w14:textId="77777777" w:rsidR="005E367F" w:rsidRPr="005E367F" w:rsidRDefault="005E367F" w:rsidP="005E36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Tailgating &amp; Piggybacking</w:t>
      </w:r>
    </w:p>
    <w:p w14:paraId="6253951E" w14:textId="77777777" w:rsidR="005E367F" w:rsidRPr="005E367F" w:rsidRDefault="005E367F" w:rsidP="005E367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Enforcement of badge-only access.</w:t>
      </w:r>
    </w:p>
    <w:p w14:paraId="3B8C7DEF" w14:textId="77777777" w:rsidR="005E367F" w:rsidRPr="005E367F" w:rsidRDefault="005E367F" w:rsidP="005E367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Cultural shift away from door-holding behavior in secure zones.</w:t>
      </w:r>
    </w:p>
    <w:p w14:paraId="17C81218" w14:textId="77777777" w:rsidR="005E367F" w:rsidRPr="005E367F" w:rsidRDefault="005E367F" w:rsidP="005E36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Phishing</w:t>
      </w:r>
    </w:p>
    <w:p w14:paraId="716AD525" w14:textId="77777777" w:rsidR="005E367F" w:rsidRPr="005E367F" w:rsidRDefault="005E367F" w:rsidP="005E367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Recognition of urgency-based manipulation.</w:t>
      </w:r>
    </w:p>
    <w:p w14:paraId="2A7FCFA6" w14:textId="77777777" w:rsidR="005E367F" w:rsidRPr="005E367F" w:rsidRDefault="005E367F" w:rsidP="005E367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Suspicious link detection.</w:t>
      </w:r>
    </w:p>
    <w:p w14:paraId="044DD9AB" w14:textId="77777777" w:rsidR="005E367F" w:rsidRPr="005E367F" w:rsidRDefault="005E367F" w:rsidP="005E367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Mandatory reporting channels.</w:t>
      </w:r>
    </w:p>
    <w:p w14:paraId="39A417BD" w14:textId="77777777" w:rsidR="005E367F" w:rsidRPr="005E367F" w:rsidRDefault="005E367F" w:rsidP="005E36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b/>
          <w:bCs/>
          <w:kern w:val="0"/>
          <w14:ligatures w14:val="none"/>
        </w:rPr>
        <w:t>Credential Protection</w:t>
      </w:r>
    </w:p>
    <w:p w14:paraId="672F845A" w14:textId="77777777" w:rsidR="005E367F" w:rsidRPr="005E367F" w:rsidRDefault="005E367F" w:rsidP="005E367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No password sharing.</w:t>
      </w:r>
    </w:p>
    <w:p w14:paraId="24F5509B" w14:textId="77777777" w:rsidR="005E367F" w:rsidRPr="005E367F" w:rsidRDefault="005E367F" w:rsidP="005E367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No credential storage on sticky notes or unsecured files.</w:t>
      </w:r>
    </w:p>
    <w:p w14:paraId="722210F7" w14:textId="77777777" w:rsidR="005E367F" w:rsidRPr="005E367F" w:rsidRDefault="005E367F" w:rsidP="005E36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367F">
        <w:rPr>
          <w:rFonts w:ascii="Times New Roman" w:eastAsia="Times New Roman" w:hAnsi="Times New Roman" w:cs="Times New Roman"/>
          <w:b/>
          <w:bCs/>
          <w:kern w:val="0"/>
          <w:sz w:val="27"/>
          <w:szCs w:val="27"/>
          <w14:ligatures w14:val="none"/>
        </w:rPr>
        <w:t>Success Metrics:</w:t>
      </w:r>
    </w:p>
    <w:p w14:paraId="1FF1B896" w14:textId="77777777" w:rsidR="005E367F" w:rsidRPr="005E367F" w:rsidRDefault="005E367F" w:rsidP="005E36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Reduction in phishing simulation click rates.</w:t>
      </w:r>
    </w:p>
    <w:p w14:paraId="174318B4" w14:textId="77777777" w:rsidR="005E367F" w:rsidRPr="005E367F" w:rsidRDefault="005E367F" w:rsidP="005E36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Increase in suspicious email reporting rates.</w:t>
      </w:r>
    </w:p>
    <w:p w14:paraId="04176C70" w14:textId="77777777" w:rsidR="005E367F" w:rsidRPr="005E367F" w:rsidRDefault="005E367F" w:rsidP="005E36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Annual training completion at 100%.</w:t>
      </w:r>
    </w:p>
    <w:p w14:paraId="11A7BD43"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Security culture is treated as an operational control, not just a training exercise.</w:t>
      </w:r>
    </w:p>
    <w:p w14:paraId="6B146C22"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lastRenderedPageBreak/>
        <w:pict w14:anchorId="0523BF2A">
          <v:rect id="_x0000_i1028" alt="" style="width:468pt;height:.05pt;mso-width-percent:0;mso-height-percent:0;mso-width-percent:0;mso-height-percent:0" o:hralign="center" o:hrstd="t" o:hr="t" fillcolor="#a0a0a0" stroked="f"/>
        </w:pict>
      </w:r>
    </w:p>
    <w:p w14:paraId="0985486B"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Risk Mitigation Summary</w:t>
      </w:r>
    </w:p>
    <w:p w14:paraId="5937F248"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Primary risks addressed through this framework:</w:t>
      </w:r>
    </w:p>
    <w:p w14:paraId="5256A3F3" w14:textId="77777777" w:rsidR="005E367F" w:rsidRPr="005E367F" w:rsidRDefault="005E367F" w:rsidP="005E36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Unauthorized access to PHI or PII</w:t>
      </w:r>
    </w:p>
    <w:p w14:paraId="60DC7B6A" w14:textId="77777777" w:rsidR="005E367F" w:rsidRPr="005E367F" w:rsidRDefault="005E367F" w:rsidP="005E36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Insider threat risk</w:t>
      </w:r>
    </w:p>
    <w:p w14:paraId="05777F0F" w14:textId="77777777" w:rsidR="005E367F" w:rsidRPr="005E367F" w:rsidRDefault="005E367F" w:rsidP="005E36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Credential compromise</w:t>
      </w:r>
    </w:p>
    <w:p w14:paraId="545204FE" w14:textId="77777777" w:rsidR="005E367F" w:rsidRPr="005E367F" w:rsidRDefault="005E367F" w:rsidP="005E36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Privilege escalation</w:t>
      </w:r>
    </w:p>
    <w:p w14:paraId="699653FF" w14:textId="77777777" w:rsidR="005E367F" w:rsidRPr="005E367F" w:rsidRDefault="005E367F" w:rsidP="005E36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Cross-organizational exposure during partnership integration</w:t>
      </w:r>
    </w:p>
    <w:p w14:paraId="472141AA"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The layered approach — segmentation, RBAC, MFA, audit processes, and security awareness — provides defense-in-depth across technical and human attack vectors.</w:t>
      </w:r>
    </w:p>
    <w:p w14:paraId="61E10367"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38138A4D">
          <v:rect id="_x0000_i1027" alt="" style="width:468pt;height:.05pt;mso-width-percent:0;mso-height-percent:0;mso-width-percent:0;mso-height-percent:0" o:hralign="center" o:hrstd="t" o:hr="t" fillcolor="#a0a0a0" stroked="f"/>
        </w:pict>
      </w:r>
    </w:p>
    <w:p w14:paraId="104C6ECC"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SLA Enforcement Considerations</w:t>
      </w:r>
    </w:p>
    <w:p w14:paraId="5F433C8F"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To ensure compliance:</w:t>
      </w:r>
    </w:p>
    <w:p w14:paraId="3177197C" w14:textId="77777777" w:rsidR="005E367F" w:rsidRPr="005E367F" w:rsidRDefault="005E367F" w:rsidP="005E36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Security controls must be documented within the formal SLA.</w:t>
      </w:r>
    </w:p>
    <w:p w14:paraId="4119743A" w14:textId="77777777" w:rsidR="005E367F" w:rsidRPr="005E367F" w:rsidRDefault="005E367F" w:rsidP="005E36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Quarterly compliance reviews required.</w:t>
      </w:r>
    </w:p>
    <w:p w14:paraId="088CA82B" w14:textId="77777777" w:rsidR="005E367F" w:rsidRPr="005E367F" w:rsidRDefault="005E367F" w:rsidP="005E36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Incident response coordination clauses included.</w:t>
      </w:r>
    </w:p>
    <w:p w14:paraId="171C3DF5" w14:textId="77777777" w:rsidR="005E367F" w:rsidRPr="005E367F" w:rsidRDefault="005E367F" w:rsidP="005E36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Control updates required when CIS standards evolve.</w:t>
      </w:r>
    </w:p>
    <w:p w14:paraId="3181ACA8"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Embedding these requirements into contractual language reduces ambiguity and enforces accountability between partner organizations.</w:t>
      </w:r>
    </w:p>
    <w:p w14:paraId="56C97BE7"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73D61C06">
          <v:rect id="_x0000_i1026" alt="" style="width:468pt;height:.05pt;mso-width-percent:0;mso-height-percent:0;mso-width-percent:0;mso-height-percent:0" o:hralign="center" o:hrstd="t" o:hr="t" fillcolor="#a0a0a0" stroked="f"/>
        </w:pict>
      </w:r>
    </w:p>
    <w:p w14:paraId="0AA322B7" w14:textId="77777777" w:rsidR="005E367F" w:rsidRPr="005E367F" w:rsidRDefault="005E367F" w:rsidP="005E36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367F">
        <w:rPr>
          <w:rFonts w:ascii="Times New Roman" w:eastAsia="Times New Roman" w:hAnsi="Times New Roman" w:cs="Times New Roman"/>
          <w:b/>
          <w:bCs/>
          <w:kern w:val="0"/>
          <w:sz w:val="36"/>
          <w:szCs w:val="36"/>
          <w14:ligatures w14:val="none"/>
        </w:rPr>
        <w:t>Conclusion</w:t>
      </w:r>
    </w:p>
    <w:p w14:paraId="2F777922"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By aligning SLA requirements with key CIS Controls and translating them into measurable operational safeguards, this framework strengthens partnership security posture while maintaining regulatory compliance and minimizing risk exposure.</w:t>
      </w:r>
    </w:p>
    <w:p w14:paraId="156EDF1A" w14:textId="77777777" w:rsidR="005E367F" w:rsidRPr="005E367F" w:rsidRDefault="005E367F" w:rsidP="005E367F">
      <w:pPr>
        <w:spacing w:before="100" w:beforeAutospacing="1" w:after="100" w:afterAutospacing="1" w:line="240" w:lineRule="auto"/>
        <w:rPr>
          <w:rFonts w:ascii="Times New Roman" w:eastAsia="Times New Roman" w:hAnsi="Times New Roman" w:cs="Times New Roman"/>
          <w:kern w:val="0"/>
          <w14:ligatures w14:val="none"/>
        </w:rPr>
      </w:pPr>
      <w:r w:rsidRPr="005E367F">
        <w:rPr>
          <w:rFonts w:ascii="Times New Roman" w:eastAsia="Times New Roman" w:hAnsi="Times New Roman" w:cs="Times New Roman"/>
          <w:kern w:val="0"/>
          <w14:ligatures w14:val="none"/>
        </w:rPr>
        <w:t>The structured combination of account governance, RBAC enforcement, MFA implementation, and security awareness training establishes a scalable and defensible security baseline.</w:t>
      </w:r>
    </w:p>
    <w:p w14:paraId="5971A270" w14:textId="77777777" w:rsidR="005E367F" w:rsidRPr="005E367F" w:rsidRDefault="00D92F92" w:rsidP="005E367F">
      <w:pPr>
        <w:spacing w:after="0" w:line="240" w:lineRule="auto"/>
        <w:rPr>
          <w:rFonts w:ascii="Times New Roman" w:eastAsia="Times New Roman" w:hAnsi="Times New Roman" w:cs="Times New Roman"/>
          <w:kern w:val="0"/>
          <w14:ligatures w14:val="none"/>
        </w:rPr>
      </w:pPr>
      <w:r w:rsidRPr="00D92F92">
        <w:rPr>
          <w:rFonts w:ascii="Times New Roman" w:eastAsia="Times New Roman" w:hAnsi="Times New Roman" w:cs="Times New Roman"/>
          <w:noProof/>
          <w:kern w:val="0"/>
        </w:rPr>
        <w:pict w14:anchorId="3B2D1299">
          <v:rect id="_x0000_i1025" alt="" style="width:468pt;height:.05pt;mso-width-percent:0;mso-height-percent:0;mso-width-percent:0;mso-height-percent:0" o:hralign="center" o:hrstd="t" o:hr="t" fillcolor="#a0a0a0" stroked="f"/>
        </w:pict>
      </w:r>
    </w:p>
    <w:p w14:paraId="0016075F" w14:textId="77777777" w:rsidR="005E367F" w:rsidRDefault="005E367F"/>
    <w:sectPr w:rsidR="005E3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1EA"/>
    <w:multiLevelType w:val="multilevel"/>
    <w:tmpl w:val="772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84B4B"/>
    <w:multiLevelType w:val="multilevel"/>
    <w:tmpl w:val="A06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00FD6"/>
    <w:multiLevelType w:val="multilevel"/>
    <w:tmpl w:val="77F44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9042B"/>
    <w:multiLevelType w:val="multilevel"/>
    <w:tmpl w:val="44A28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47923"/>
    <w:multiLevelType w:val="multilevel"/>
    <w:tmpl w:val="EA58D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3124BF"/>
    <w:multiLevelType w:val="multilevel"/>
    <w:tmpl w:val="F89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77460"/>
    <w:multiLevelType w:val="multilevel"/>
    <w:tmpl w:val="BF6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816CA"/>
    <w:multiLevelType w:val="multilevel"/>
    <w:tmpl w:val="D4EC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77739"/>
    <w:multiLevelType w:val="multilevel"/>
    <w:tmpl w:val="4C22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C6CF0"/>
    <w:multiLevelType w:val="multilevel"/>
    <w:tmpl w:val="F7C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227673">
    <w:abstractNumId w:val="9"/>
  </w:num>
  <w:num w:numId="2" w16cid:durableId="2058508648">
    <w:abstractNumId w:val="8"/>
  </w:num>
  <w:num w:numId="3" w16cid:durableId="714741743">
    <w:abstractNumId w:val="2"/>
  </w:num>
  <w:num w:numId="4" w16cid:durableId="254486608">
    <w:abstractNumId w:val="6"/>
  </w:num>
  <w:num w:numId="5" w16cid:durableId="240648657">
    <w:abstractNumId w:val="4"/>
  </w:num>
  <w:num w:numId="6" w16cid:durableId="304313042">
    <w:abstractNumId w:val="5"/>
  </w:num>
  <w:num w:numId="7" w16cid:durableId="945382663">
    <w:abstractNumId w:val="3"/>
  </w:num>
  <w:num w:numId="8" w16cid:durableId="413094586">
    <w:abstractNumId w:val="1"/>
  </w:num>
  <w:num w:numId="9" w16cid:durableId="797917868">
    <w:abstractNumId w:val="7"/>
  </w:num>
  <w:num w:numId="10" w16cid:durableId="1302078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F"/>
    <w:rsid w:val="005E367F"/>
    <w:rsid w:val="008B169A"/>
    <w:rsid w:val="00D92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54CFC"/>
  <w15:chartTrackingRefBased/>
  <w15:docId w15:val="{51A04630-6BBF-5644-9984-E7E09E8B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3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3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3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3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67F"/>
    <w:rPr>
      <w:rFonts w:eastAsiaTheme="majorEastAsia" w:cstheme="majorBidi"/>
      <w:color w:val="272727" w:themeColor="text1" w:themeTint="D8"/>
    </w:rPr>
  </w:style>
  <w:style w:type="paragraph" w:styleId="Title">
    <w:name w:val="Title"/>
    <w:basedOn w:val="Normal"/>
    <w:next w:val="Normal"/>
    <w:link w:val="TitleChar"/>
    <w:uiPriority w:val="10"/>
    <w:qFormat/>
    <w:rsid w:val="005E3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67F"/>
    <w:pPr>
      <w:spacing w:before="160"/>
      <w:jc w:val="center"/>
    </w:pPr>
    <w:rPr>
      <w:i/>
      <w:iCs/>
      <w:color w:val="404040" w:themeColor="text1" w:themeTint="BF"/>
    </w:rPr>
  </w:style>
  <w:style w:type="character" w:customStyle="1" w:styleId="QuoteChar">
    <w:name w:val="Quote Char"/>
    <w:basedOn w:val="DefaultParagraphFont"/>
    <w:link w:val="Quote"/>
    <w:uiPriority w:val="29"/>
    <w:rsid w:val="005E367F"/>
    <w:rPr>
      <w:i/>
      <w:iCs/>
      <w:color w:val="404040" w:themeColor="text1" w:themeTint="BF"/>
    </w:rPr>
  </w:style>
  <w:style w:type="paragraph" w:styleId="ListParagraph">
    <w:name w:val="List Paragraph"/>
    <w:basedOn w:val="Normal"/>
    <w:uiPriority w:val="34"/>
    <w:qFormat/>
    <w:rsid w:val="005E367F"/>
    <w:pPr>
      <w:ind w:left="720"/>
      <w:contextualSpacing/>
    </w:pPr>
  </w:style>
  <w:style w:type="character" w:styleId="IntenseEmphasis">
    <w:name w:val="Intense Emphasis"/>
    <w:basedOn w:val="DefaultParagraphFont"/>
    <w:uiPriority w:val="21"/>
    <w:qFormat/>
    <w:rsid w:val="005E367F"/>
    <w:rPr>
      <w:i/>
      <w:iCs/>
      <w:color w:val="0F4761" w:themeColor="accent1" w:themeShade="BF"/>
    </w:rPr>
  </w:style>
  <w:style w:type="paragraph" w:styleId="IntenseQuote">
    <w:name w:val="Intense Quote"/>
    <w:basedOn w:val="Normal"/>
    <w:next w:val="Normal"/>
    <w:link w:val="IntenseQuoteChar"/>
    <w:uiPriority w:val="30"/>
    <w:qFormat/>
    <w:rsid w:val="005E3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67F"/>
    <w:rPr>
      <w:i/>
      <w:iCs/>
      <w:color w:val="0F4761" w:themeColor="accent1" w:themeShade="BF"/>
    </w:rPr>
  </w:style>
  <w:style w:type="character" w:styleId="IntenseReference">
    <w:name w:val="Intense Reference"/>
    <w:basedOn w:val="DefaultParagraphFont"/>
    <w:uiPriority w:val="32"/>
    <w:qFormat/>
    <w:rsid w:val="005E367F"/>
    <w:rPr>
      <w:b/>
      <w:bCs/>
      <w:smallCaps/>
      <w:color w:val="0F4761" w:themeColor="accent1" w:themeShade="BF"/>
      <w:spacing w:val="5"/>
    </w:rPr>
  </w:style>
  <w:style w:type="paragraph" w:styleId="NormalWeb">
    <w:name w:val="Normal (Web)"/>
    <w:basedOn w:val="Normal"/>
    <w:uiPriority w:val="99"/>
    <w:semiHidden/>
    <w:unhideWhenUsed/>
    <w:rsid w:val="005E36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36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1774</Words>
  <Characters>3549</Characters>
  <Application>Microsoft Office Word</Application>
  <DocSecurity>0</DocSecurity>
  <Lines>1774</Lines>
  <Paragraphs>1774</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Radcliff</dc:creator>
  <cp:keywords/>
  <dc:description/>
  <cp:lastModifiedBy>April Radcliff</cp:lastModifiedBy>
  <cp:revision>1</cp:revision>
  <dcterms:created xsi:type="dcterms:W3CDTF">2026-03-03T03:31:00Z</dcterms:created>
  <dcterms:modified xsi:type="dcterms:W3CDTF">2026-03-03T03:33:00Z</dcterms:modified>
</cp:coreProperties>
</file>