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bottom w:color="auto" w:space="7" w:sz="0" w:val="none"/>
        </w:pBdr>
        <w:shd w:fill="ffffff" w:val="clear"/>
        <w:spacing w:after="240" w:before="360" w:line="300" w:lineRule="auto"/>
        <w:rPr>
          <w:rFonts w:ascii="Times New Roman" w:cs="Times New Roman" w:eastAsia="Times New Roman" w:hAnsi="Times New Roman"/>
          <w:color w:val="1f2328"/>
          <w:sz w:val="24"/>
          <w:szCs w:val="24"/>
        </w:rPr>
      </w:pPr>
      <w:bookmarkStart w:colFirst="0" w:colLast="0" w:name="_ngre52gm06br" w:id="0"/>
      <w:bookmarkEnd w:id="0"/>
      <w:r w:rsidDel="00000000" w:rsidR="00000000" w:rsidRPr="00000000">
        <w:rPr>
          <w:rFonts w:ascii="Times New Roman" w:cs="Times New Roman" w:eastAsia="Times New Roman" w:hAnsi="Times New Roman"/>
          <w:b w:val="1"/>
          <w:bCs w:val="1"/>
          <w:color w:val="1f2328"/>
          <w:sz w:val="24"/>
          <w:szCs w:val="24"/>
          <w:rtl w:val="0"/>
        </w:rPr>
        <w:t xml:space="preserve">Nombres: </w:t>
      </w:r>
      <w:r w:rsidDel="00000000" w:rsidR="00000000" w:rsidRPr="00000000">
        <w:rPr>
          <w:rFonts w:ascii="Times New Roman" w:cs="Times New Roman" w:eastAsia="Times New Roman" w:hAnsi="Times New Roman"/>
          <w:color w:val="1f2328"/>
          <w:sz w:val="24"/>
          <w:szCs w:val="24"/>
          <w:rtl w:val="0"/>
        </w:rPr>
        <w:t xml:space="preserve">Gabriela Coloma y Francisco Alarcon</w:t>
      </w:r>
    </w:p>
    <w:p w:rsidR="00000000" w:rsidDel="00000000" w:rsidP="00000000" w:rsidRDefault="00000000" w:rsidRPr="00000000" w14:paraId="00000002">
      <w:pPr>
        <w:pStyle w:val="Heading1"/>
        <w:keepNext w:val="0"/>
        <w:keepLines w:val="0"/>
        <w:pBdr>
          <w:bottom w:color="auto" w:space="7" w:sz="0" w:val="none"/>
        </w:pBdr>
        <w:shd w:fill="ffffff" w:val="clear"/>
        <w:spacing w:after="240" w:before="360" w:line="300" w:lineRule="auto"/>
        <w:rPr>
          <w:rFonts w:ascii="Times New Roman" w:cs="Times New Roman" w:eastAsia="Times New Roman" w:hAnsi="Times New Roman"/>
          <w:b w:val="1"/>
          <w:bCs w:val="1"/>
          <w:color w:val="1f2328"/>
          <w:sz w:val="24"/>
          <w:szCs w:val="24"/>
        </w:rPr>
      </w:pPr>
      <w:bookmarkStart w:colFirst="0" w:colLast="0" w:name="_almta5vnmq2m" w:id="1"/>
      <w:bookmarkEnd w:id="1"/>
      <w:r w:rsidDel="00000000" w:rsidR="00000000" w:rsidRPr="00000000">
        <w:rPr>
          <w:rFonts w:ascii="Times New Roman" w:cs="Times New Roman" w:eastAsia="Times New Roman" w:hAnsi="Times New Roman"/>
          <w:b w:val="1"/>
          <w:bCs w:val="1"/>
          <w:color w:val="1f2328"/>
          <w:sz w:val="24"/>
          <w:szCs w:val="24"/>
          <w:rtl w:val="0"/>
        </w:rPr>
        <w:t xml:space="preserve">Homework 4</w:t>
      </w:r>
    </w:p>
    <w:p w:rsidR="00000000" w:rsidDel="00000000" w:rsidP="00000000" w:rsidRDefault="00000000" w:rsidRPr="00000000" w14:paraId="00000003">
      <w:pPr>
        <w:pStyle w:val="Heading2"/>
        <w:keepNext w:val="0"/>
        <w:keepLines w:val="0"/>
        <w:pBdr>
          <w:bottom w:color="auto" w:space="5" w:sz="0" w:val="none"/>
        </w:pBdr>
        <w:shd w:fill="ffffff" w:val="clear"/>
        <w:spacing w:after="240" w:line="300" w:lineRule="auto"/>
        <w:rPr>
          <w:rFonts w:ascii="Times New Roman" w:cs="Times New Roman" w:eastAsia="Times New Roman" w:hAnsi="Times New Roman"/>
          <w:b w:val="1"/>
          <w:bCs w:val="1"/>
          <w:color w:val="1f2328"/>
          <w:sz w:val="24"/>
          <w:szCs w:val="24"/>
        </w:rPr>
      </w:pPr>
      <w:bookmarkStart w:colFirst="0" w:colLast="0" w:name="_gxcloz576rz" w:id="2"/>
      <w:bookmarkEnd w:id="2"/>
      <w:r w:rsidDel="00000000" w:rsidR="00000000" w:rsidRPr="00000000">
        <w:rPr>
          <w:rFonts w:ascii="Times New Roman" w:cs="Times New Roman" w:eastAsia="Times New Roman" w:hAnsi="Times New Roman"/>
          <w:b w:val="1"/>
          <w:bCs w:val="1"/>
          <w:color w:val="1f2328"/>
          <w:sz w:val="24"/>
          <w:szCs w:val="24"/>
          <w:rtl w:val="0"/>
        </w:rPr>
        <w:t xml:space="preserve">1. Foundational Research: Ecuadorian Data Sovereignty (LOPDP)</w:t>
      </w:r>
    </w:p>
    <w:p w:rsidR="00000000" w:rsidDel="00000000" w:rsidP="00000000" w:rsidRDefault="00000000" w:rsidRPr="00000000" w14:paraId="00000004">
      <w:pPr>
        <w:shd w:fill="ffffff" w:val="clear"/>
        <w:spacing w:after="24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Ecuador’s Ley Orgánica de Protección de Datos Personales (LOPDP), enforced starting in July 2023 , establishes comprehensive individual rights over personal data. This module requires you to research the specific mandates of this law as they relate to automated decision-making and cross-border data management.  </w:t>
      </w:r>
    </w:p>
    <w:p w:rsidR="00000000" w:rsidDel="00000000" w:rsidP="00000000" w:rsidRDefault="00000000" w:rsidRPr="00000000" w14:paraId="00000005">
      <w:pPr>
        <w:pStyle w:val="Heading3"/>
        <w:keepNext w:val="0"/>
        <w:keepLines w:val="0"/>
        <w:numPr>
          <w:ilvl w:val="0"/>
          <w:numId w:val="5"/>
        </w:numPr>
        <w:shd w:fill="ffffff" w:val="clear"/>
        <w:spacing w:after="240" w:before="360" w:line="300" w:lineRule="auto"/>
        <w:ind w:left="720" w:hanging="360"/>
        <w:rPr>
          <w:rFonts w:ascii="Times New Roman" w:cs="Times New Roman" w:eastAsia="Times New Roman" w:hAnsi="Times New Roman"/>
          <w:b w:val="1"/>
          <w:bCs w:val="1"/>
          <w:color w:val="1f2328"/>
          <w:sz w:val="24"/>
          <w:szCs w:val="24"/>
        </w:rPr>
      </w:pPr>
      <w:bookmarkStart w:colFirst="0" w:colLast="0" w:name="_zg3bt14fzlu4" w:id="3"/>
      <w:bookmarkEnd w:id="3"/>
      <w:r w:rsidDel="00000000" w:rsidR="00000000" w:rsidRPr="00000000">
        <w:rPr>
          <w:rFonts w:ascii="Times New Roman" w:cs="Times New Roman" w:eastAsia="Times New Roman" w:hAnsi="Times New Roman"/>
          <w:b w:val="1"/>
          <w:bCs w:val="1"/>
          <w:color w:val="1f2328"/>
          <w:sz w:val="24"/>
          <w:szCs w:val="24"/>
          <w:rtl w:val="0"/>
        </w:rPr>
        <w:t xml:space="preserve">What are the three core principles (criterios mínimos) that govern all data processing activities under the LOPDP?  </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artículo 2 de la LOPDP no indican en qué casos la ley no será aplicable y, en el punto f específicamente, nos dice lo siguiente: “En cualquiera de estos casos deberá darse cumplimiento a los estándares internacionales en la materia de derechos humanos y a los principios de esta ley, y como mínimo a los criterios de legalidad, proporcionalidad y necesidad” (Asamblea Nacional del Ecuador, 2021).</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Siendo legalidad que se tiene que sostener en un sustento legal como contrato, consentimiento, etc. La proporcionalidad significa que tiene que ser proporcional lo que se busca encontrar como resultado con el daño que le causa a la persona. Y por último la necesidad que nos indica que básicamente si es que hay cualquier otra forma de probar o de lograr el objetivo sin estos datos se deberá hacer y si no hay se debe usar solo la información necesaria ni un poco más.</w:t>
      </w:r>
      <w:r w:rsidDel="00000000" w:rsidR="00000000" w:rsidRPr="00000000">
        <w:rPr>
          <w:rtl w:val="0"/>
        </w:rPr>
      </w:r>
    </w:p>
    <w:p w:rsidR="00000000" w:rsidDel="00000000" w:rsidP="00000000" w:rsidRDefault="00000000" w:rsidRPr="00000000" w14:paraId="00000008">
      <w:pPr>
        <w:pStyle w:val="Heading3"/>
        <w:keepNext w:val="0"/>
        <w:keepLines w:val="0"/>
        <w:numPr>
          <w:ilvl w:val="0"/>
          <w:numId w:val="5"/>
        </w:numPr>
        <w:shd w:fill="ffffff" w:val="clear"/>
        <w:spacing w:after="240" w:before="360" w:line="300" w:lineRule="auto"/>
        <w:ind w:left="720" w:hanging="360"/>
        <w:rPr>
          <w:rFonts w:ascii="Times New Roman" w:cs="Times New Roman" w:eastAsia="Times New Roman" w:hAnsi="Times New Roman"/>
          <w:b w:val="1"/>
          <w:bCs w:val="1"/>
          <w:color w:val="1f2328"/>
          <w:sz w:val="24"/>
          <w:szCs w:val="24"/>
        </w:rPr>
      </w:pPr>
      <w:bookmarkStart w:colFirst="0" w:colLast="0" w:name="_5q53w7bt0cen" w:id="4"/>
      <w:bookmarkEnd w:id="4"/>
      <w:r w:rsidDel="00000000" w:rsidR="00000000" w:rsidRPr="00000000">
        <w:rPr>
          <w:rFonts w:ascii="Times New Roman" w:cs="Times New Roman" w:eastAsia="Times New Roman" w:hAnsi="Times New Roman"/>
          <w:b w:val="1"/>
          <w:bCs w:val="1"/>
          <w:color w:val="1f2328"/>
          <w:sz w:val="24"/>
          <w:szCs w:val="24"/>
          <w:rtl w:val="0"/>
        </w:rPr>
        <w:t xml:space="preserve">Locate the specific article (or section within an article) of the LOPDP that grants the data subject the right “to not be object of a decision based solely on automated valuations”. Explain the details and protections it provides.</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Primero se presenta en el artículo 12, donde nos dicen que el dueño de la información o el titular de esta información debe poder saber cómo, por qué y todos los detalles de qué están haciendo con su información. Aquí se menciona en el punto 14 que la persona tiene que poder saber de: “La existencia y forma en que pueden hacerse efectivos sus derechos de acceso, eliminación, rectificación y actualización, oposición, anulación, limitación del tratamiento y a no ser objeto de una decisión basada únicamente en valoraciones automatizadas” (Asamblea Nacional del Ecuador, 2021).</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en el artículo 20 “Derecho a no ser objeto de una decisión basada única o parcialmente en valoraciones automatizadas” (Asamblea Nacional del Ecuador, 2021)</w:t>
      </w:r>
      <w:r w:rsidDel="00000000" w:rsidR="00000000" w:rsidRPr="00000000">
        <w:rPr>
          <w:rFonts w:ascii="Times New Roman" w:cs="Times New Roman" w:eastAsia="Times New Roman" w:hAnsi="Times New Roman"/>
          <w:sz w:val="24"/>
          <w:szCs w:val="24"/>
          <w:rtl w:val="0"/>
        </w:rPr>
        <w:t xml:space="preserve"> nos indican que una persona tiene derecho a no ser sometida a una decisión que fue hecha por procesos automáticos como algoritmos, IA, profiling, scoring, etc. Estos pueden causar efectos jurídicos o afectar a derechos que son fundamentales para los seres humanos.</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persona se puede defender de esto de cinco maneras:</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 puede solicitar una explicación de por qué se tomó esa decisión, la lógica detrás o los factores que influyeron dentro de esta decisión al encargado del tratamiento de estos datos personales.</w:t>
        <w:br w:type="textWrapping"/>
        <w:t xml:space="preserve"> ii. Se pueden dar observaciones donde se puede corregir cosas que no estén bien o agregar información de parte del individuo.</w:t>
        <w:br w:type="textWrapping"/>
        <w:t xml:space="preserve"> iii. Pedir que le indiquen cuáles son los criterios que usa el algoritmo o el sistema, sobre cómo evalúa o qué valores usa y así.</w:t>
        <w:br w:type="textWrapping"/>
        <w:t xml:space="preserve"> iv. Se puede pedir saber cuáles son los datos que están utilizando al usarlos en este proceso automatizado y también ver de dónde vino o de dónde se sacó esta información, lo que puede ayudar a ver errores en el proceso.</w:t>
        <w:br w:type="textWrapping"/>
        <w:t xml:space="preserve"> v. La persona puede “retar” la decisión, es decir, puede pedir que la vuelvan a revisar con más control humano o que la corrijan o que la reconsideren.</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último, el derecho también se puede no aplicar cuando existe un contrato que fuerce este procedimiento entre el individuo y la persona que maneja los datos, como puede ser para la autorización de una tarjeta de crédito. También cuando una ley o algo legal lo autorice, incluso el consentimiento textual del individuo dueño de la información, como escrito o verificable. O también cuando la decisión es trivial y no afecta al individuo con su decisión. Y lo más importante es que dice que no pueden hacer que renuncies a este derecho anticipadamente, como por ejemplo si te hicieran firmar un contrato que dice que tú renuncias a este derecho al entrar a la empresa o algo así (Asamblea Nacional del Ecuador, 2021).</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el artículo 21 habla sobre este mismo derecho pero en niños y niñas, que cumple con los mismos criterios que ya se explicaron, pero que aparte dice que no se pueden tomar datos sensibles o delicados de niños o niñas sin el consentimiento de los padres o tutores legales de los mismos. A partir de sus 15 años ya podrían dar el consentimiento por ellos mismos, pero igual verificable y explícito. También se pueden usar si hay un interés público esencial, pero cumpliendo los derechos humanos de los niños, los tres criterios mencionados en el punto anterior y que incluya salvaguardas para que se protejan y se hagan cumplir tales derechos ya mencionados (Asamblea Nacional del Ecuador, 2021).</w:t>
      </w:r>
      <w:r w:rsidDel="00000000" w:rsidR="00000000" w:rsidRPr="00000000">
        <w:rPr>
          <w:rtl w:val="0"/>
        </w:rPr>
      </w:r>
    </w:p>
    <w:p w:rsidR="00000000" w:rsidDel="00000000" w:rsidP="00000000" w:rsidRDefault="00000000" w:rsidRPr="00000000" w14:paraId="0000000F">
      <w:pPr>
        <w:pStyle w:val="Heading3"/>
        <w:keepNext w:val="0"/>
        <w:keepLines w:val="0"/>
        <w:numPr>
          <w:ilvl w:val="0"/>
          <w:numId w:val="5"/>
        </w:numPr>
        <w:shd w:fill="ffffff" w:val="clear"/>
        <w:spacing w:after="240" w:before="360" w:line="300" w:lineRule="auto"/>
        <w:ind w:left="720" w:hanging="360"/>
        <w:rPr>
          <w:rFonts w:ascii="Times New Roman" w:cs="Times New Roman" w:eastAsia="Times New Roman" w:hAnsi="Times New Roman"/>
          <w:b w:val="1"/>
          <w:bCs w:val="1"/>
          <w:color w:val="1f2328"/>
          <w:sz w:val="24"/>
          <w:szCs w:val="24"/>
        </w:rPr>
      </w:pPr>
      <w:bookmarkStart w:colFirst="0" w:colLast="0" w:name="_igvzegulfd0f" w:id="5"/>
      <w:bookmarkEnd w:id="5"/>
      <w:r w:rsidDel="00000000" w:rsidR="00000000" w:rsidRPr="00000000">
        <w:rPr>
          <w:rFonts w:ascii="Times New Roman" w:cs="Times New Roman" w:eastAsia="Times New Roman" w:hAnsi="Times New Roman"/>
          <w:b w:val="1"/>
          <w:bCs w:val="1"/>
          <w:color w:val="1f2328"/>
          <w:sz w:val="24"/>
          <w:szCs w:val="24"/>
          <w:rtl w:val="0"/>
        </w:rPr>
        <w:t xml:space="preserve">In the context of an AI-driven system (e.g., hiring or loan approval), explain the operational impact of this right. How does this LOPDP provision compel a data controller to provide human intervention or oversight?  </w:t>
      </w:r>
      <w:r w:rsidDel="00000000" w:rsidR="00000000" w:rsidRPr="00000000">
        <w:rPr>
          <w:rtl w:val="0"/>
        </w:rPr>
      </w:r>
    </w:p>
    <w:p w:rsidR="00000000" w:rsidDel="00000000" w:rsidP="00000000" w:rsidRDefault="00000000" w:rsidRPr="00000000" w14:paraId="0000001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Primero que nada, como es un sistema de contratación o aprobación de préstamos, ya que causarían efectos jurídicos, entra dentro del artículo 20 de la LOPDP (Asamblea Nacional del Ecuador, 2021). Después, como esta nos indica, ninguna persona puede ser sometida a un proceso con una decisión que sea hecha de forma automatizada. Eso quiere decir que, en la empresa, el sistema de IA puede hacer recomendaciones o resúmenes, pero no puede dar la decisión final sobre estos casos. Esto quiere decir que en una parte del proceso de este sistema se tiene que tener intervención humana significativa. O sea, para que sea significativa no solo puede revisar y seguir, sino que tiene que participar del proceso. Es decir, tiene que revisar el caso a conciencia y seguir con la decisión de la IA o cambiarla si fuera el caso.</w:t>
      </w:r>
    </w:p>
    <w:p w:rsidR="00000000" w:rsidDel="00000000" w:rsidP="00000000" w:rsidRDefault="00000000" w:rsidRPr="00000000" w14:paraId="0000001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persona que es encargada de este proceso tiene que estar lista para las formas de defensa de los individuos. Por ejemplo, para cumplir con la explicación motivada, que es el punto i de la pregunta anterior, tiene que saber el porqué de la toma de esta decisión. También, para cumplir con el punto ii y v, la persona encargada deberá poder alterar o modificar esta decisión si se impugna, ya sea para cambiarla, analizarla nuevamente, ingresar más información, etc.</w:t>
      </w:r>
    </w:p>
    <w:p w:rsidR="00000000" w:rsidDel="00000000" w:rsidP="00000000" w:rsidRDefault="00000000" w:rsidRPr="00000000" w14:paraId="0000001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quiere decir que la ley obliga a la empresa, en realidad, a crear un sistema que permita:</w:t>
      </w:r>
    </w:p>
    <w:p w:rsidR="00000000" w:rsidDel="00000000" w:rsidP="00000000" w:rsidRDefault="00000000" w:rsidRPr="00000000" w14:paraId="0000001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Explicar la toma de decisiones de la IA, como lo que mencionamos antes, factores a considerar, qué datos se tomaron, de dónde se tomaron los datos, cuáles son los criterios que usa este programa, cómo se puede apoyar el individuo para que se hagan cumplir estas especificaciones. Esto quiere decir que debe ser un programa transparente, que lleve trazabilidad y documentación de lo que va realizando.</w:t>
      </w:r>
    </w:p>
    <w:p w:rsidR="00000000" w:rsidDel="00000000" w:rsidP="00000000" w:rsidRDefault="00000000" w:rsidRPr="00000000" w14:paraId="00000014">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nos lleva al siguiente punto, que es otorgar al cliente una forma de presentar todos los tipos de defensa contra el saltarse este derecho. Como puede ser tener apertura para presentar observaciones, corregir información, aumentar datos. Esto implica tener contacto directo entre la empresa y el individuo de una forma accesible claramente, y también un proceso interno de la empresa para manejar esta revisión que sea conformado por humanos que estén capacitados y listos para poder tratar con este tipo de casos como el de la reevaluación 100% humana.</w:t>
      </w:r>
    </w:p>
    <w:p w:rsidR="00000000" w:rsidDel="00000000" w:rsidP="00000000" w:rsidRDefault="00000000" w:rsidRPr="00000000" w14:paraId="0000001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16">
      <w:pPr>
        <w:pStyle w:val="Heading3"/>
        <w:keepNext w:val="0"/>
        <w:keepLines w:val="0"/>
        <w:numPr>
          <w:ilvl w:val="0"/>
          <w:numId w:val="5"/>
        </w:numPr>
        <w:shd w:fill="ffffff" w:val="clear"/>
        <w:spacing w:after="240" w:before="360" w:line="300" w:lineRule="auto"/>
        <w:ind w:left="720" w:hanging="360"/>
        <w:rPr>
          <w:rFonts w:ascii="Times New Roman" w:cs="Times New Roman" w:eastAsia="Times New Roman" w:hAnsi="Times New Roman"/>
          <w:b w:val="1"/>
          <w:bCs w:val="1"/>
          <w:color w:val="1f2328"/>
          <w:sz w:val="24"/>
          <w:szCs w:val="24"/>
        </w:rPr>
      </w:pPr>
      <w:bookmarkStart w:colFirst="0" w:colLast="0" w:name="_indujik8pcv3" w:id="6"/>
      <w:bookmarkEnd w:id="6"/>
      <w:r w:rsidDel="00000000" w:rsidR="00000000" w:rsidRPr="00000000">
        <w:rPr>
          <w:rFonts w:ascii="Times New Roman" w:cs="Times New Roman" w:eastAsia="Times New Roman" w:hAnsi="Times New Roman"/>
          <w:b w:val="1"/>
          <w:bCs w:val="1"/>
          <w:color w:val="1f2328"/>
          <w:sz w:val="24"/>
          <w:szCs w:val="24"/>
          <w:rtl w:val="0"/>
        </w:rPr>
        <w:t xml:space="preserve">Under what conditions is the international transfer of personal data restricted by the LOPDP?  </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responder a esta pregunta nos vamos a basar en el capítulo 9 que se llama “Transferencia o comunicación internacional de datos personales” (Asamblea Nacional del Ecuador, 2021).</w:t>
      </w:r>
    </w:p>
    <w:p w:rsidR="00000000" w:rsidDel="00000000" w:rsidP="00000000" w:rsidRDefault="00000000" w:rsidRPr="00000000" w14:paraId="000000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generales, la transferencia de datos es permitida según el artículo 56 a países, personas o entidades que tengan los mismos niveles de protección que los nuestros, es decir, los del Ecuador. Para esto entra la Autoridad de Protección de Datos Personales, que será la que nos indica si se cumple o no con los niveles de seguridad (Asamblea Nacional del Ecuador, 2021).</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transferencia de datos es restringida cuando el país no cumple con las medidas de seguridad requeridas por la Autoridad de Protección de Datos Personales, sin embargo, se puede realizar si es que, como dice el artículo 57, el encargado del tratamiento de estos datos puede cumplir con asegurar los mismos niveles de protección que el Ecuador, asegurar que haya cómo reclamar o tomar acciones judiciales y, si es que es el caso, dar una reparación integral (Asamblea Nacional del Ecuador, 2021).</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sea, no está permitida la transferencia de datos cuando no se cumplen con las mismas normas o estándares del Ecuador, no se prometen garantías adecuadas y no se tiene autorización de la Autoridad de Protección de Datos Personales. También se deberá cumplir con el artículo 21 que vimos antes sobre menores de edad y su debido consentimiento explícito, y que cumpla el artículo 12 que dice “El titular de datos personales tiene derecho a ser informado conforme los principios de lealtad y transparencia”(Asamblea Nacional del Ecuador, 2021) sobre para qué es la información, cómo la obtuvieron, por cuánto tiempo, etc.</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pStyle w:val="Heading3"/>
        <w:keepNext w:val="0"/>
        <w:keepLines w:val="0"/>
        <w:numPr>
          <w:ilvl w:val="0"/>
          <w:numId w:val="5"/>
        </w:numPr>
        <w:shd w:fill="ffffff" w:val="clear"/>
        <w:spacing w:after="240" w:before="360" w:line="300" w:lineRule="auto"/>
        <w:ind w:left="720" w:hanging="360"/>
        <w:rPr>
          <w:rFonts w:ascii="Times New Roman" w:cs="Times New Roman" w:eastAsia="Times New Roman" w:hAnsi="Times New Roman"/>
          <w:b w:val="1"/>
          <w:bCs w:val="1"/>
          <w:color w:val="1f2328"/>
          <w:sz w:val="24"/>
          <w:szCs w:val="24"/>
        </w:rPr>
      </w:pPr>
      <w:bookmarkStart w:colFirst="0" w:colLast="0" w:name="_jxucgp6xscl4" w:id="7"/>
      <w:bookmarkEnd w:id="7"/>
      <w:r w:rsidDel="00000000" w:rsidR="00000000" w:rsidRPr="00000000">
        <w:rPr>
          <w:rFonts w:ascii="Times New Roman" w:cs="Times New Roman" w:eastAsia="Times New Roman" w:hAnsi="Times New Roman"/>
          <w:b w:val="1"/>
          <w:bCs w:val="1"/>
          <w:color w:val="1f2328"/>
          <w:sz w:val="24"/>
          <w:szCs w:val="24"/>
          <w:rtl w:val="0"/>
        </w:rPr>
        <w:t xml:space="preserve">Explain the role of the Data Protection Authority (DPA) regarding international data transfers. How does this requirement create operational friction or regulatory compliance barriers for a multinational AI company that typically relies on centralized cloud infrastructure outside of Ecuador?  </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Primero que nada, en el artículo 4 nos indican que la Autoridad de Protección de Datos Personales (APD) es “Autoridad pública independiente encargada de supervisar la aplicación de la presente ley, reglamento y resoluciones que ella dicte, con el fin de proteger los derechos y libertades fundamentales de las personas naturales, en cuanto al tratamiento de sus datos personales”(Asamblea Nacional del Ecuador, 2021). </w:t>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Ahora, igual basándonos en el capítulo IX de la LOPDP (Asamblea Nacional del Ecuador, 2021), podemos ver en lo dicho anteriormente que, según el artículo 56, primero nos indican que la transferencia sí se puede hacer a países que cumplen con ciertas especificaciones que siguen con las medidas de protección de datos del Ecuador. La APD es la encargada de declarar cuál es el nivel adecuado que deben tener estos países. En el artículo nos dice que la APD deberá emitir una resolución motivada que sea la que indica que cumplen con los requisitos y leyes que rigen en el Ecuador para que este país externo sea considerado para el intercambio de datos personales. También en el artículo 61 nos dicen que este permiso para tales países puede ser revocado por la APD, ya que la misma realizará estudios constantes para ver la realidad del país, que es cambiante, para ver si sigue cumpliendo con los estándares.</w:t>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mismo artículo nos dice que la APD también “podrá implementar métodos de control ex post que serán definidos en el Reglamento a la Ley” (Asamblea Nacional del Ecuador, 2021). Esto quiere decir que puede tratar y ver lo que está pasando con una transferencia de datos que ya fue realizada y puede mantener comunicación con el otro país para poder eliminar cualquier riesgo de la violación de la protección de datos.</w:t>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Ahora, en el artículo 57 nos dicen que, si el país no fue considerado por la APD para el intercambio de datos, como se menciona en el literal anterior, igual puede haber intercambio de datos siempre y cuando se cumpla con unas condiciones y también que debe haber un instrumento jurídico vinculante en el que se deberán tomar en cuenta especificaciones directas de la APD (Asamblea Nacional del Ecuador, 2021).</w:t>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artículo 58 nos hablan de las normas corporativas, que básicamente es cuando en una empresa hay transferencia de datos internacional. Entonces se tiene que poder crear un propio set de reglas para esta transferencia, pero estas reglas deben ser aprobadas y tienen que seguir el formato que dice la APD, que nos indica los estándares y las reglas del procedimiento a cumplir para que sea válido y que cumpla con lo que nos dice la LOPDP, como también ser notificado en caso de cualquier cambio o alteración (Asamblea Nacional del Ecuador, 2021).</w:t>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artículo 59, de igual forma, nos dicen que, si es que no entra en ninguno de los casos anteriores, entonces la transferencia solo se podrá hacer con una autorización directa de la APD. Esto quiere decir que la APD deberá revisar el caso específico y otorgar o no un permiso para esta transferencia (Asamblea Nacional del Ecuador, 2021).</w:t>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problema para las empresas multinacionales de IA es que normalmente, como nos indica el enunciado, los datos se envían automáticamente a servidores internacionales. Pero por la regulación ecuatoriana esta transferencia requiere de aprobación de la APD para poder hacerlo, lo que hace que se generen demoras, ya que se debe validar en qué caso cae de los anteriores mencionados o bajo qué circunstancia se pueden transferir. Esto nos lleva al siguiente punto, que es la parte legal, ya que para estas aprobaciones se deberán obtener permisos legales de la APD y la empresa deberá también modificar ciertos contratos o especificaciones para cumplir con el estándar. Esto, aparte de ser costoso, ya que se necesitarían abogados y comunicación, se puede demorar y demorar todo el proceso de la empresa. También puede llevar a que la empresa tenga que cambiar arquitectura para que haya cumplimiento de normas, como de no ser automático si fuera el caso. Significaría que la empresa tiene que contar con la opción de poder tener controles por parte de la APD, lo que requiere mantener información sobre la utilización de los datos que usa la empresa de IA, lo que igualmente puede ser costoso y requerir de sistemas de monitoreo continuo. También se tiene una cierta incertidumbre porque la APD siempre puede retirar los permisos a países, entonces generaría problemas para la empresa ya que podría hasta tener que detener operaciones para solucionar los permisos.</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pStyle w:val="Heading2"/>
        <w:keepNext w:val="0"/>
        <w:keepLines w:val="0"/>
        <w:pBdr>
          <w:bottom w:color="auto" w:space="5" w:sz="0" w:val="none"/>
        </w:pBdr>
        <w:shd w:fill="ffffff" w:val="clear"/>
        <w:spacing w:after="240" w:line="300" w:lineRule="auto"/>
        <w:rPr>
          <w:rFonts w:ascii="Times New Roman" w:cs="Times New Roman" w:eastAsia="Times New Roman" w:hAnsi="Times New Roman"/>
          <w:b w:val="1"/>
          <w:bCs w:val="1"/>
          <w:color w:val="1f2328"/>
          <w:sz w:val="24"/>
          <w:szCs w:val="24"/>
        </w:rPr>
      </w:pPr>
      <w:bookmarkStart w:colFirst="0" w:colLast="0" w:name="_6ufhxpcmtpzg" w:id="8"/>
      <w:bookmarkEnd w:id="8"/>
      <w:r w:rsidDel="00000000" w:rsidR="00000000" w:rsidRPr="00000000">
        <w:rPr>
          <w:rFonts w:ascii="Times New Roman" w:cs="Times New Roman" w:eastAsia="Times New Roman" w:hAnsi="Times New Roman"/>
          <w:b w:val="1"/>
          <w:bCs w:val="1"/>
          <w:color w:val="1f2328"/>
          <w:sz w:val="24"/>
          <w:szCs w:val="24"/>
          <w:rtl w:val="0"/>
        </w:rPr>
        <w:t xml:space="preserve">2. Corporate Policy Scrutiny: The Data Repurposing Conflict</w:t>
      </w:r>
    </w:p>
    <w:p w:rsidR="00000000" w:rsidDel="00000000" w:rsidP="00000000" w:rsidRDefault="00000000" w:rsidRPr="00000000" w14:paraId="00000026">
      <w:pPr>
        <w:shd w:fill="ffffff" w:val="clear"/>
        <w:spacing w:after="24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Major generative AI companies frequently face scrutiny for collecting and repurposing user data (such as chat inputs) for model training, a practice that directly challenges the principles of purpose limitation and explicit consent in global privacy laws.  </w:t>
      </w:r>
    </w:p>
    <w:p w:rsidR="00000000" w:rsidDel="00000000" w:rsidP="00000000" w:rsidRDefault="00000000" w:rsidRPr="00000000" w14:paraId="00000027">
      <w:pPr>
        <w:pStyle w:val="Heading3"/>
        <w:keepNext w:val="0"/>
        <w:keepLines w:val="0"/>
        <w:numPr>
          <w:ilvl w:val="0"/>
          <w:numId w:val="4"/>
        </w:numPr>
        <w:shd w:fill="ffffff" w:val="clear"/>
        <w:spacing w:after="240" w:before="360" w:line="300" w:lineRule="auto"/>
        <w:ind w:left="720" w:hanging="360"/>
        <w:rPr>
          <w:rFonts w:ascii="Times New Roman" w:cs="Times New Roman" w:eastAsia="Times New Roman" w:hAnsi="Times New Roman"/>
          <w:b w:val="1"/>
          <w:bCs w:val="1"/>
          <w:color w:val="1f2328"/>
          <w:sz w:val="24"/>
          <w:szCs w:val="24"/>
        </w:rPr>
      </w:pPr>
      <w:bookmarkStart w:colFirst="0" w:colLast="0" w:name="_6wf7feim6fzt" w:id="9"/>
      <w:bookmarkEnd w:id="9"/>
      <w:r w:rsidDel="00000000" w:rsidR="00000000" w:rsidRPr="00000000">
        <w:rPr>
          <w:rFonts w:ascii="Times New Roman" w:cs="Times New Roman" w:eastAsia="Times New Roman" w:hAnsi="Times New Roman"/>
          <w:b w:val="1"/>
          <w:bCs w:val="1"/>
          <w:color w:val="1f2328"/>
          <w:sz w:val="24"/>
          <w:szCs w:val="24"/>
          <w:rtl w:val="0"/>
        </w:rPr>
        <w:t xml:space="preserve">Select two major generative AI providers (e.g., OpenAI, Meta, or Anthropic). Briefly summarize how each company differentiates the data usage practices between their Enterprise/API Services (for paying business clients) and their Consumer/Chatbot Services (for free public users) regarding model training.  </w:t>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Primero, las dos IAs utilizadas para este ejercicio son OpenAI y Anthropic. La información sale de las páginas oficiales de ambas empresas.</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Ahora, OpenAI para su Enterprise/API Services en realidad no usa los datos que el usuario le da para entrenar modelos de forma automática. La página dice que sí hay forma de hacerlo si decides hacerlo explícitamente en la configuración, pero que en términos generales no se usa tu información recolectada, ya sean datos, prompts, outputs, para entrenar al modelo ni para mejorarlo. Nos habla hasta de encriptación usando AES-256 y TLS 1.2 en tránsito para la seguridad de la información prestada (OpenAI, 2025a).</w:t>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versión gratuita o Consumer/Chatbot, por otro lado, nos indica la página web que en realidad sí usa los datos para entrenar al modelo. Como dice en la página “we may use Content you provide us to improve our Services, for example to train the models that power ChatGPT”, o sea que sí usa la información que le mandamos como archivos e inputs y outputs para entrenamiento de modelos. Dice también claramente que puedes seleccionar no dar esta información y “opt-out” de dar la información para este entrenamiento (OpenAI, 2025b).</w:t>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Ahora, hablando de Anthropic, primero de la Enterprise/API, que en este caso sería Claude for Work y Anthropic API, nos dice su página web que los datos que se ingresan y el output que da no se usan por defecto para poder entrenar sus modelos. Como en todos los casos, igual dice que si es que se busca o si se reportan explícitamente errores o cualquier tipo de recomendación, entonces sí se puede usar esa información para entrenar los modelos. Igual, si es que se elige dar la información voluntariamente, igual se pueden dar los datos (Anthropic, 2025b).</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En el caso de Anthropic Consumer/Chatbot, entonces estaríamos hablando de Claude free, pro y max. Entonces el caso especifica que se usarán los chats y las sesiones de código si es que eliges entregar los datos de estos chats, también si es que está alguna señal de tipo de peligro en el chat o si se decide entrar en uno de sus programas que tienen para que la gente les ayude a entrenar modelos. También especifica que en ninguno de los casos se utilizan los datos para entrenamiento del modelo si es que se utiliza en modo incógnito (Anthropic, 2025a).</w:t>
      </w:r>
      <w:r w:rsidDel="00000000" w:rsidR="00000000" w:rsidRPr="00000000">
        <w:rPr>
          <w:rtl w:val="0"/>
        </w:rPr>
      </w:r>
    </w:p>
    <w:p w:rsidR="00000000" w:rsidDel="00000000" w:rsidP="00000000" w:rsidRDefault="00000000" w:rsidRPr="00000000" w14:paraId="0000002D">
      <w:pPr>
        <w:pStyle w:val="Heading3"/>
        <w:keepNext w:val="0"/>
        <w:keepLines w:val="0"/>
        <w:numPr>
          <w:ilvl w:val="0"/>
          <w:numId w:val="4"/>
        </w:numPr>
        <w:shd w:fill="ffffff" w:val="clear"/>
        <w:spacing w:after="240" w:before="360" w:line="300" w:lineRule="auto"/>
        <w:ind w:left="720" w:hanging="360"/>
        <w:rPr>
          <w:rFonts w:ascii="Times New Roman" w:cs="Times New Roman" w:eastAsia="Times New Roman" w:hAnsi="Times New Roman"/>
          <w:b w:val="1"/>
          <w:bCs w:val="1"/>
          <w:color w:val="1f2328"/>
          <w:sz w:val="24"/>
          <w:szCs w:val="24"/>
        </w:rPr>
      </w:pPr>
      <w:bookmarkStart w:colFirst="0" w:colLast="0" w:name="_rde1dfp4ukir" w:id="10"/>
      <w:bookmarkEnd w:id="10"/>
      <w:r w:rsidDel="00000000" w:rsidR="00000000" w:rsidRPr="00000000">
        <w:rPr>
          <w:rFonts w:ascii="Times New Roman" w:cs="Times New Roman" w:eastAsia="Times New Roman" w:hAnsi="Times New Roman"/>
          <w:b w:val="1"/>
          <w:bCs w:val="1"/>
          <w:color w:val="1f2328"/>
          <w:sz w:val="24"/>
          <w:szCs w:val="24"/>
          <w:rtl w:val="0"/>
        </w:rPr>
        <w:t xml:space="preserve">Analyze the public-facing policy for the consumer chat version of one of your selected companies. Identify the type of user input data (e.g., chat content, account info, technical data) that may be used for model training.  </w:t>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política de privacidad de OpenAI para servicios consumer identifica cuatro categorías de datos potencialmente utilizables para mejorar modelos (OpenAI Privacy Policy, 2024):</w:t>
      </w:r>
    </w:p>
    <w:p w:rsidR="00000000" w:rsidDel="00000000" w:rsidP="00000000" w:rsidRDefault="00000000" w:rsidRPr="00000000" w14:paraId="0000002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wv394ikgpxw0" w:id="11"/>
      <w:bookmarkEnd w:id="11"/>
      <w:r w:rsidDel="00000000" w:rsidR="00000000" w:rsidRPr="00000000">
        <w:rPr>
          <w:rFonts w:ascii="Times New Roman" w:cs="Times New Roman" w:eastAsia="Times New Roman" w:hAnsi="Times New Roman"/>
          <w:b w:val="1"/>
          <w:bCs w:val="1"/>
          <w:color w:val="000000"/>
          <w:sz w:val="24"/>
          <w:szCs w:val="24"/>
          <w:rtl w:val="0"/>
        </w:rPr>
        <w:t xml:space="preserve">Contenido del usuario </w:t>
      </w:r>
    </w:p>
    <w:p w:rsidR="00000000" w:rsidDel="00000000" w:rsidP="00000000" w:rsidRDefault="00000000" w:rsidRPr="00000000" w14:paraId="000000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categoría abarca todos los prompts y mensajes escritos en ChatGPT, las respuestas generadas por el modelo, archivos subidos (PDFs, imágenes, documentos de audio, código fuente), y crucialmente, el feedback explícito. OpenAI especifica: </w:t>
      </w:r>
      <w:r w:rsidDel="00000000" w:rsidR="00000000" w:rsidRPr="00000000">
        <w:rPr>
          <w:rFonts w:ascii="Times New Roman" w:cs="Times New Roman" w:eastAsia="Times New Roman" w:hAnsi="Times New Roman"/>
          <w:sz w:val="24"/>
          <w:szCs w:val="24"/>
          <w:rtl w:val="0"/>
        </w:rPr>
        <w:t xml:space="preserve">"If you choose to provide feedback, the entire conversation associated with that feedback may be used to train our models"</w:t>
      </w:r>
      <w:hyperlink r:id="rId6">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(OpenAI Help Center, 2025), lo cual significa que incluso usuarios que desactivaron el entrenamiento pueden inadvertidamente contribuir datos si utilizan los botones de valoración.</w:t>
      </w:r>
    </w:p>
    <w:p w:rsidR="00000000" w:rsidDel="00000000" w:rsidP="00000000" w:rsidRDefault="00000000" w:rsidRPr="00000000" w14:paraId="0000003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r0ddajkuv8z0" w:id="12"/>
      <w:bookmarkEnd w:id="12"/>
      <w:r w:rsidDel="00000000" w:rsidR="00000000" w:rsidRPr="00000000">
        <w:rPr>
          <w:rFonts w:ascii="Times New Roman" w:cs="Times New Roman" w:eastAsia="Times New Roman" w:hAnsi="Times New Roman"/>
          <w:b w:val="1"/>
          <w:bCs w:val="1"/>
          <w:color w:val="000000"/>
          <w:sz w:val="24"/>
          <w:szCs w:val="24"/>
          <w:rtl w:val="0"/>
        </w:rPr>
        <w:t xml:space="preserve">Información de cuenta</w:t>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Incluye dirección de email, credenciales de cuenta, número de teléfono, información de pago para suscriptores Plus, y fecha de creación de cuenta. Aunque OpenAI indica que toma medidas para reducir información personal identificable antes del entrenamiento, la recopilación inicial es exhaustiva.</w:t>
      </w:r>
    </w:p>
    <w:p w:rsidR="00000000" w:rsidDel="00000000" w:rsidP="00000000" w:rsidRDefault="00000000" w:rsidRPr="00000000" w14:paraId="0000003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oif8iau59qfn" w:id="13"/>
      <w:bookmarkEnd w:id="13"/>
      <w:r w:rsidDel="00000000" w:rsidR="00000000" w:rsidRPr="00000000">
        <w:rPr>
          <w:rFonts w:ascii="Times New Roman" w:cs="Times New Roman" w:eastAsia="Times New Roman" w:hAnsi="Times New Roman"/>
          <w:b w:val="1"/>
          <w:bCs w:val="1"/>
          <w:color w:val="000000"/>
          <w:sz w:val="24"/>
          <w:szCs w:val="24"/>
          <w:rtl w:val="0"/>
        </w:rPr>
        <w:t xml:space="preserve">Datos técnicos y metadatos</w:t>
      </w:r>
    </w:p>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OpenAI recolecta dirección IP, tipo y versión de navegador, sistema operativo, identificadores de dispositivo, geolocalización aproximada, cookies, timestamps de interacción, y patrones de uso como duración de sesión y frecuencia.</w:t>
      </w:r>
      <w:hyperlink r:id="rId7">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Estos metadatos, aunque aparentemente inocuos, pueden permitir re-identificación cuando se combinan con otros datasets.</w:t>
      </w:r>
    </w:p>
    <w:p w:rsidR="00000000" w:rsidDel="00000000" w:rsidP="00000000" w:rsidRDefault="00000000" w:rsidRPr="00000000" w14:paraId="0000003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ajf02cszfjqm" w:id="14"/>
      <w:bookmarkEnd w:id="14"/>
      <w:r w:rsidDel="00000000" w:rsidR="00000000" w:rsidRPr="00000000">
        <w:rPr>
          <w:rFonts w:ascii="Times New Roman" w:cs="Times New Roman" w:eastAsia="Times New Roman" w:hAnsi="Times New Roman"/>
          <w:b w:val="1"/>
          <w:bCs w:val="1"/>
          <w:color w:val="000000"/>
          <w:sz w:val="24"/>
          <w:szCs w:val="24"/>
          <w:rtl w:val="0"/>
        </w:rPr>
        <w:t xml:space="preserve">Información de comunicaciones</w:t>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Comprende el contenido de correos electrónicos enviados a OpenAI y comentarios en redes sociales oficiales. Esta categoría extiende la superficie de recopilación más allá de la interfaz principal del chatbot.</w:t>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OpenAI aclara que </w:t>
      </w:r>
      <w:r w:rsidDel="00000000" w:rsidR="00000000" w:rsidRPr="00000000">
        <w:rPr>
          <w:rFonts w:ascii="Times New Roman" w:cs="Times New Roman" w:eastAsia="Times New Roman" w:hAnsi="Times New Roman"/>
          <w:sz w:val="24"/>
          <w:szCs w:val="24"/>
          <w:rtl w:val="0"/>
        </w:rPr>
        <w:t xml:space="preserve">"we retain certain data from your interactions with us, but we take steps to reduce the amount of personal information in our training datasets before they are used to improve and train our models"</w:t>
      </w:r>
      <w:hyperlink r:id="rId8">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(OpenAI Help Center, 2025), aunque no especifica qué técnicas de anonimización emplea ni su efectividad demostrada.</w:t>
      </w:r>
    </w:p>
    <w:p w:rsidR="00000000" w:rsidDel="00000000" w:rsidP="00000000" w:rsidRDefault="00000000" w:rsidRPr="00000000" w14:paraId="0000003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pStyle w:val="Heading3"/>
        <w:keepNext w:val="0"/>
        <w:keepLines w:val="0"/>
        <w:numPr>
          <w:ilvl w:val="0"/>
          <w:numId w:val="4"/>
        </w:numPr>
        <w:shd w:fill="ffffff" w:val="clear"/>
        <w:spacing w:after="240" w:before="360" w:line="300" w:lineRule="auto"/>
        <w:ind w:left="720" w:hanging="360"/>
        <w:rPr>
          <w:rFonts w:ascii="Times New Roman" w:cs="Times New Roman" w:eastAsia="Times New Roman" w:hAnsi="Times New Roman"/>
          <w:b w:val="1"/>
          <w:bCs w:val="1"/>
          <w:color w:val="1f2328"/>
          <w:sz w:val="24"/>
          <w:szCs w:val="24"/>
        </w:rPr>
      </w:pPr>
      <w:bookmarkStart w:colFirst="0" w:colLast="0" w:name="_ml9d5ftpnqs7" w:id="15"/>
      <w:bookmarkEnd w:id="15"/>
      <w:r w:rsidDel="00000000" w:rsidR="00000000" w:rsidRPr="00000000">
        <w:rPr>
          <w:rFonts w:ascii="Times New Roman" w:cs="Times New Roman" w:eastAsia="Times New Roman" w:hAnsi="Times New Roman"/>
          <w:b w:val="1"/>
          <w:bCs w:val="1"/>
          <w:color w:val="1f2328"/>
          <w:sz w:val="24"/>
          <w:szCs w:val="24"/>
          <w:rtl w:val="0"/>
        </w:rPr>
        <w:t xml:space="preserve">Describe the practical process a user must follow to opt out of having their data used for training (e.g., submission of a form, navigation of settings, or use of a specific toggle).  </w:t>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OpenAI ofrece tres métodos para que usuarios eviten que sus datos sean utilizados para entrenamiento:</w:t>
      </w:r>
    </w:p>
    <w:p w:rsidR="00000000" w:rsidDel="00000000" w:rsidP="00000000" w:rsidRDefault="00000000" w:rsidRPr="00000000" w14:paraId="0000003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awqkb05cfibx" w:id="16"/>
      <w:bookmarkEnd w:id="16"/>
      <w:r w:rsidDel="00000000" w:rsidR="00000000" w:rsidRPr="00000000">
        <w:rPr>
          <w:rFonts w:ascii="Times New Roman" w:cs="Times New Roman" w:eastAsia="Times New Roman" w:hAnsi="Times New Roman"/>
          <w:b w:val="1"/>
          <w:bCs w:val="1"/>
          <w:color w:val="000000"/>
          <w:sz w:val="24"/>
          <w:szCs w:val="24"/>
          <w:rtl w:val="0"/>
        </w:rPr>
        <w:t xml:space="preserve">Método 1: Toggle en configuraciones </w:t>
      </w:r>
    </w:p>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proceso más directo requiere:</w:t>
      </w:r>
    </w:p>
    <w:p w:rsidR="00000000" w:rsidDel="00000000" w:rsidP="00000000" w:rsidRDefault="00000000" w:rsidRPr="00000000" w14:paraId="0000003E">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Iniciar sesión en ChatGPT</w:t>
      </w:r>
    </w:p>
    <w:p w:rsidR="00000000" w:rsidDel="00000000" w:rsidP="00000000" w:rsidRDefault="00000000" w:rsidRPr="00000000" w14:paraId="0000003F">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Hacer clic en el ícono de perfil (esquina superior derecha)</w:t>
      </w:r>
    </w:p>
    <w:p w:rsidR="00000000" w:rsidDel="00000000" w:rsidP="00000000" w:rsidRDefault="00000000" w:rsidRPr="00000000" w14:paraId="00000040">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Seleccionar "Settings" (Configuraciones)</w:t>
      </w:r>
    </w:p>
    <w:p w:rsidR="00000000" w:rsidDel="00000000" w:rsidP="00000000" w:rsidRDefault="00000000" w:rsidRPr="00000000" w14:paraId="00000041">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Navegar a "Data Controls" (Controles de datos)</w:t>
      </w:r>
    </w:p>
    <w:p w:rsidR="00000000" w:rsidDel="00000000" w:rsidP="00000000" w:rsidRDefault="00000000" w:rsidRPr="00000000" w14:paraId="00000042">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Desactivar el toggle "Improve the model for everyone"</w:t>
      </w:r>
      <w:hyperlink r:id="rId9">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OpenAI confirma: </w:t>
      </w:r>
      <w:r w:rsidDel="00000000" w:rsidR="00000000" w:rsidRPr="00000000">
        <w:rPr>
          <w:rFonts w:ascii="Times New Roman" w:cs="Times New Roman" w:eastAsia="Times New Roman" w:hAnsi="Times New Roman"/>
          <w:sz w:val="24"/>
          <w:szCs w:val="24"/>
          <w:rtl w:val="0"/>
        </w:rPr>
        <w:t xml:space="preserve">"Once you opt out, new conversations will not be used to train our models"</w:t>
      </w:r>
      <w:hyperlink r:id="rId1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(OpenAI Help Center, 2025). Notablemente, el historial de conversaciones se mantiene visible incluso con esta opción desactivada.</w:t>
      </w:r>
      <w:hyperlink r:id="rId11">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r4btfo45n7vj" w:id="17"/>
      <w:bookmarkEnd w:id="17"/>
      <w:r w:rsidDel="00000000" w:rsidR="00000000" w:rsidRPr="00000000">
        <w:rPr>
          <w:rFonts w:ascii="Times New Roman" w:cs="Times New Roman" w:eastAsia="Times New Roman" w:hAnsi="Times New Roman"/>
          <w:b w:val="1"/>
          <w:bCs w:val="1"/>
          <w:color w:val="000000"/>
          <w:sz w:val="24"/>
          <w:szCs w:val="24"/>
          <w:rtl w:val="0"/>
        </w:rPr>
        <w:t xml:space="preserve">Método 2: Privacy Portal</w:t>
      </w:r>
    </w:p>
    <w:p w:rsidR="00000000" w:rsidDel="00000000" w:rsidP="00000000" w:rsidRDefault="00000000" w:rsidRPr="00000000" w14:paraId="000000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Alternativamente, usuarios pueden acceder a privacy.openai.com, iniciar sesión, seleccionar </w:t>
      </w:r>
      <w:r w:rsidDel="00000000" w:rsidR="00000000" w:rsidRPr="00000000">
        <w:rPr>
          <w:rFonts w:ascii="Times New Roman" w:cs="Times New Roman" w:eastAsia="Times New Roman" w:hAnsi="Times New Roman"/>
          <w:sz w:val="24"/>
          <w:szCs w:val="24"/>
          <w:rtl w:val="0"/>
        </w:rPr>
        <w:t xml:space="preserve">"Make a Privacy Request"</w:t>
      </w:r>
      <w:r w:rsidDel="00000000" w:rsidR="00000000" w:rsidRPr="00000000">
        <w:rPr>
          <w:rFonts w:ascii="Times New Roman" w:cs="Times New Roman" w:eastAsia="Times New Roman" w:hAnsi="Times New Roman"/>
          <w:sz w:val="24"/>
          <w:szCs w:val="24"/>
          <w:rtl w:val="0"/>
        </w:rPr>
        <w:t xml:space="preserve">, y elegir la opción </w:t>
      </w:r>
      <w:r w:rsidDel="00000000" w:rsidR="00000000" w:rsidRPr="00000000">
        <w:rPr>
          <w:rFonts w:ascii="Times New Roman" w:cs="Times New Roman" w:eastAsia="Times New Roman" w:hAnsi="Times New Roman"/>
          <w:sz w:val="24"/>
          <w:szCs w:val="24"/>
          <w:rtl w:val="0"/>
        </w:rPr>
        <w:t xml:space="preserve">"Do not train on my content"</w:t>
      </w:r>
      <w:r w:rsidDel="00000000" w:rsidR="00000000" w:rsidRPr="00000000">
        <w:rPr>
          <w:rFonts w:ascii="Times New Roman" w:cs="Times New Roman" w:eastAsia="Times New Roman" w:hAnsi="Times New Roman"/>
          <w:sz w:val="24"/>
          <w:szCs w:val="24"/>
          <w:rtl w:val="0"/>
        </w:rPr>
        <w:t xml:space="preserve">.</w:t>
      </w:r>
      <w:hyperlink r:id="rId12">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Este método genera confirmación por email indicando: </w:t>
      </w:r>
      <w:r w:rsidDel="00000000" w:rsidR="00000000" w:rsidRPr="00000000">
        <w:rPr>
          <w:rFonts w:ascii="Times New Roman" w:cs="Times New Roman" w:eastAsia="Times New Roman" w:hAnsi="Times New Roman"/>
          <w:sz w:val="24"/>
          <w:szCs w:val="24"/>
          <w:rtl w:val="0"/>
        </w:rPr>
        <w:t xml:space="preserve">"We will no longer use your content to train our models. As a reminder, this request is forward looking and does not apply to content that had previously been disassociated from your account"</w:t>
      </w:r>
      <w:hyperlink r:id="rId13">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(OpenAI, 2025b).</w:t>
      </w:r>
    </w:p>
    <w:p w:rsidR="00000000" w:rsidDel="00000000" w:rsidP="00000000" w:rsidRDefault="00000000" w:rsidRPr="00000000" w14:paraId="0000004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13vze7f2hwka" w:id="18"/>
      <w:bookmarkEnd w:id="18"/>
      <w:r w:rsidDel="00000000" w:rsidR="00000000" w:rsidRPr="00000000">
        <w:rPr>
          <w:rFonts w:ascii="Times New Roman" w:cs="Times New Roman" w:eastAsia="Times New Roman" w:hAnsi="Times New Roman"/>
          <w:b w:val="1"/>
          <w:bCs w:val="1"/>
          <w:color w:val="000000"/>
          <w:sz w:val="24"/>
          <w:szCs w:val="24"/>
          <w:rtl w:val="0"/>
        </w:rPr>
        <w:t xml:space="preserve">Método 3: Chats temporales</w:t>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conversaciones específicas que no deben ser utilizadas, existe el modo Temporary Chat accesible desde un ícono en la esquina superior derecha de la pantalla de chat. Estos chats no aparecen en historial, no crean memorias, y nunca se utilizan para entrenamiento</w:t>
      </w:r>
      <w:hyperlink r:id="rId14">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según la documentación oficial.</w: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nphomvou7f2x" w:id="19"/>
      <w:bookmarkEnd w:id="19"/>
      <w:r w:rsidDel="00000000" w:rsidR="00000000" w:rsidRPr="00000000">
        <w:rPr>
          <w:rFonts w:ascii="Times New Roman" w:cs="Times New Roman" w:eastAsia="Times New Roman" w:hAnsi="Times New Roman"/>
          <w:b w:val="1"/>
          <w:bCs w:val="1"/>
          <w:color w:val="000000"/>
          <w:sz w:val="24"/>
          <w:szCs w:val="24"/>
          <w:rtl w:val="0"/>
        </w:rPr>
        <w:t xml:space="preserve">Limitaciones críticas del opt-out</w:t>
      </w:r>
    </w:p>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opt-out presenta tres restricciones significativas:</w:t>
      </w:r>
    </w:p>
    <w:p w:rsidR="00000000" w:rsidDel="00000000" w:rsidP="00000000" w:rsidRDefault="00000000" w:rsidRPr="00000000" w14:paraId="0000004A">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retroactividad: </w:t>
      </w:r>
      <w:r w:rsidDel="00000000" w:rsidR="00000000" w:rsidRPr="00000000">
        <w:rPr>
          <w:rFonts w:ascii="Times New Roman" w:cs="Times New Roman" w:eastAsia="Times New Roman" w:hAnsi="Times New Roman"/>
          <w:sz w:val="24"/>
          <w:szCs w:val="24"/>
          <w:rtl w:val="0"/>
        </w:rPr>
        <w:t xml:space="preserve">"The opt-out isn't retroactive. Any data you've already contributed in the past may still reside in training datasets"</w:t>
      </w:r>
      <w:hyperlink r:id="rId15">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(OpenAI Help Center, 2025).</w:t>
      </w:r>
    </w:p>
    <w:p w:rsidR="00000000" w:rsidDel="00000000" w:rsidP="00000000" w:rsidRDefault="00000000" w:rsidRPr="00000000" w14:paraId="0000004B">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de feedback: Incluso con opt-out activo, </w:t>
      </w:r>
      <w:r w:rsidDel="00000000" w:rsidR="00000000" w:rsidRPr="00000000">
        <w:rPr>
          <w:rFonts w:ascii="Times New Roman" w:cs="Times New Roman" w:eastAsia="Times New Roman" w:hAnsi="Times New Roman"/>
          <w:sz w:val="24"/>
          <w:szCs w:val="24"/>
          <w:rtl w:val="0"/>
        </w:rPr>
        <w:t xml:space="preserve">"If you choose to provide feedback, the entire conversation associated with that feedback may be used to train our models"</w:t>
      </w:r>
      <w:hyperlink r:id="rId16">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(OpenAI Help Center, 2025).</w:t>
      </w:r>
    </w:p>
    <w:p w:rsidR="00000000" w:rsidDel="00000000" w:rsidP="00000000" w:rsidRDefault="00000000" w:rsidRPr="00000000" w14:paraId="0000004C">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Retención de seguridad: </w:t>
      </w:r>
      <w:r w:rsidDel="00000000" w:rsidR="00000000" w:rsidRPr="00000000">
        <w:rPr>
          <w:rFonts w:ascii="Times New Roman" w:cs="Times New Roman" w:eastAsia="Times New Roman" w:hAnsi="Times New Roman"/>
          <w:sz w:val="24"/>
          <w:szCs w:val="24"/>
          <w:rtl w:val="0"/>
        </w:rPr>
        <w:t xml:space="preserve">"When chat history is disabled, we will retain new conversations for 30 days and review them only when needed to monitor for abuse"</w:t>
      </w:r>
      <w:hyperlink r:id="rId17">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(OpenAI, 2023).</w:t>
      </w:r>
    </w:p>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pStyle w:val="Heading3"/>
        <w:keepNext w:val="0"/>
        <w:keepLines w:val="0"/>
        <w:numPr>
          <w:ilvl w:val="0"/>
          <w:numId w:val="4"/>
        </w:numPr>
        <w:shd w:fill="ffffff" w:val="clear"/>
        <w:spacing w:after="240" w:before="360" w:line="300" w:lineRule="auto"/>
        <w:ind w:left="720" w:hanging="360"/>
        <w:rPr>
          <w:rFonts w:ascii="Times New Roman" w:cs="Times New Roman" w:eastAsia="Times New Roman" w:hAnsi="Times New Roman"/>
          <w:b w:val="1"/>
          <w:bCs w:val="1"/>
          <w:color w:val="1f2328"/>
          <w:sz w:val="24"/>
          <w:szCs w:val="24"/>
        </w:rPr>
      </w:pPr>
      <w:bookmarkStart w:colFirst="0" w:colLast="0" w:name="_a3ph6lh167hu" w:id="20"/>
      <w:bookmarkEnd w:id="20"/>
      <w:r w:rsidDel="00000000" w:rsidR="00000000" w:rsidRPr="00000000">
        <w:rPr>
          <w:rFonts w:ascii="Times New Roman" w:cs="Times New Roman" w:eastAsia="Times New Roman" w:hAnsi="Times New Roman"/>
          <w:b w:val="1"/>
          <w:bCs w:val="1"/>
          <w:color w:val="1f2328"/>
          <w:sz w:val="24"/>
          <w:szCs w:val="24"/>
          <w:rtl w:val="0"/>
        </w:rPr>
        <w:t xml:space="preserve">Critically evaluate: How does this opt-out mechanism conflict with the LOPDP’s mandate for prior, informed, and explicit consent for data processing?  </w:t>
      </w:r>
    </w:p>
    <w:p w:rsidR="00000000" w:rsidDel="00000000" w:rsidP="00000000" w:rsidRDefault="00000000" w:rsidRPr="00000000" w14:paraId="000000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LOPDP ecuatoriana, vigente desde julio de 2023, establece en su artículo 7 que el tratamiento de datos personales requiere el consentimiento previo, expreso, informado e inequívoco del titular (Asamblea Nacional del Ecuador, 2021). Este requisito genera un conflicto estructural con los mecanismos de opt-out predominantes en la industria de IA generativa.</w:t>
      </w:r>
    </w:p>
    <w:p w:rsidR="00000000" w:rsidDel="00000000" w:rsidP="00000000" w:rsidRDefault="00000000" w:rsidRPr="00000000" w14:paraId="0000005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p28935v40vug" w:id="21"/>
      <w:bookmarkEnd w:id="21"/>
      <w:r w:rsidDel="00000000" w:rsidR="00000000" w:rsidRPr="00000000">
        <w:rPr>
          <w:rFonts w:ascii="Times New Roman" w:cs="Times New Roman" w:eastAsia="Times New Roman" w:hAnsi="Times New Roman"/>
          <w:b w:val="1"/>
          <w:bCs w:val="1"/>
          <w:color w:val="000000"/>
          <w:sz w:val="24"/>
          <w:szCs w:val="24"/>
          <w:rtl w:val="0"/>
        </w:rPr>
        <w:t xml:space="preserve">El problema fundamental: inversión de la carga del consentimiento</w:t>
      </w:r>
    </w:p>
    <w:p w:rsidR="00000000" w:rsidDel="00000000" w:rsidP="00000000" w:rsidRDefault="00000000" w:rsidRPr="00000000" w14:paraId="000000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modelos de opt-out operan bajo una presunción de consentimiento implícito: el usuario acepta el tratamiento hasta que activamente lo rechace. La LOPDP, siguiendo el modelo europeo del GDPR, exige lo contrario: el tratamiento solo es lícito cuando existe manifestación previa y afirmativa de voluntad. La LOPDP establece en su artículo 7 que el tratamiento requiere el consentimiento del titular, el cual debe cumplir requisitos específicos definidos en el artículo 8: debe ser libre (exento de vicios), específico (determinación concreta de medios y fines), informado (cumpliendo el principio de transparencia) e inequívoco (sin dudas sobre el alcance de la autorización).</w:t>
      </w:r>
    </w:p>
    <w:p w:rsidR="00000000" w:rsidDel="00000000" w:rsidP="00000000" w:rsidRDefault="00000000" w:rsidRPr="00000000" w14:paraId="000000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caso de OpenAI, el entrenamiento está habilitado por defecto para usuarios gratuitos y Plus.</w:t>
      </w:r>
      <w:hyperlink r:id="rId18">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Esto significa que un usuario ecuatoriano que crea una cuenta y comienza a usar ChatGPT inmediatamente contribuye datos para entrenamiento, sin haber otorgado consentimiento explícito para este propósito específico. La aceptación de términos de servicio generales no satisface el requisito de especificidad que demanda la LOPDP.</w:t>
      </w:r>
    </w:p>
    <w:p w:rsidR="00000000" w:rsidDel="00000000" w:rsidP="00000000" w:rsidRDefault="00000000" w:rsidRPr="00000000" w14:paraId="0000005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6eln4c7nvmtp" w:id="22"/>
      <w:bookmarkEnd w:id="22"/>
      <w:r w:rsidDel="00000000" w:rsidR="00000000" w:rsidRPr="00000000">
        <w:rPr>
          <w:rFonts w:ascii="Times New Roman" w:cs="Times New Roman" w:eastAsia="Times New Roman" w:hAnsi="Times New Roman"/>
          <w:b w:val="1"/>
          <w:bCs w:val="1"/>
          <w:color w:val="000000"/>
          <w:sz w:val="24"/>
          <w:szCs w:val="24"/>
          <w:rtl w:val="0"/>
        </w:rPr>
        <w:t xml:space="preserve">Violación del principio de información previa</w:t>
      </w:r>
    </w:p>
    <w:p w:rsidR="00000000" w:rsidDel="00000000" w:rsidP="00000000" w:rsidRDefault="00000000" w:rsidRPr="00000000" w14:paraId="000000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artículo 12 de la LOPDP establece el derecho a la información, requiriendo que el titular sea informado sobre los fines del tratamiento, la base legal, tipos de tratamiento, tiempo de conservación, y otros aspectos relevantes conforme los principios de lealtad y transparencia.</w:t>
      </w:r>
      <w:r w:rsidDel="00000000" w:rsidR="00000000" w:rsidRPr="00000000">
        <w:rPr>
          <w:rFonts w:ascii="Times New Roman" w:cs="Times New Roman" w:eastAsia="Times New Roman" w:hAnsi="Times New Roman"/>
          <w:sz w:val="24"/>
          <w:szCs w:val="24"/>
          <w:rtl w:val="0"/>
        </w:rPr>
        <w:t xml:space="preserve"> Sin embargo, las políticas de OpenAI y Anthropic presentan información sobre uso de datos para entrenamiento en documentos extensos de términos de servicio que la mayoría de usuarios no lee. El descubrimiento de que LinkedIn activó silenciosamente el uso de datos para IA en agosto de 2024, con usuarios descubriéndose semanas después a través de medios de comunicación (De La Torre v. LinkedIn Corp., 2025), ilustra cómo la industria frecuentemente prioriza la adopción sobre la transparencia.</w:t>
      </w:r>
    </w:p>
    <w:p w:rsidR="00000000" w:rsidDel="00000000" w:rsidP="00000000" w:rsidRDefault="00000000" w:rsidRPr="00000000" w14:paraId="0000005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f51iki7uu02f" w:id="23"/>
      <w:bookmarkEnd w:id="23"/>
      <w:r w:rsidDel="00000000" w:rsidR="00000000" w:rsidRPr="00000000">
        <w:rPr>
          <w:rFonts w:ascii="Times New Roman" w:cs="Times New Roman" w:eastAsia="Times New Roman" w:hAnsi="Times New Roman"/>
          <w:b w:val="1"/>
          <w:bCs w:val="1"/>
          <w:color w:val="000000"/>
          <w:sz w:val="24"/>
          <w:szCs w:val="24"/>
          <w:rtl w:val="0"/>
        </w:rPr>
        <w:t xml:space="preserve">Tensión con el derecho de oposición efectivo</w:t>
      </w:r>
    </w:p>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artículo 16 de la LOPDP reconoce el derecho de oposición al tratamiento de datos. Sin embargo, ambas compañías reconocen que el opt-out no es retroactivo: los datos ya incorporados en modelos entrenados no pueden removerse. Anthropic lo expresa directamente: </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Your data will still be included in model training that has already started and in models that have already been trained</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(Anthropic, 2025a). Esta irreversibilidad contradice el principio de que el consentimiento debe poder retirarse </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en cualquier momento</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con efectos plenos, como estipula el artículo 8 de la LOPDP.</w:t>
      </w:r>
    </w:p>
    <w:p w:rsidR="00000000" w:rsidDel="00000000" w:rsidP="00000000" w:rsidRDefault="00000000" w:rsidRPr="00000000" w14:paraId="0000005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qg76xpaui35p" w:id="24"/>
      <w:bookmarkEnd w:id="24"/>
      <w:r w:rsidDel="00000000" w:rsidR="00000000" w:rsidRPr="00000000">
        <w:rPr>
          <w:rFonts w:ascii="Times New Roman" w:cs="Times New Roman" w:eastAsia="Times New Roman" w:hAnsi="Times New Roman"/>
          <w:b w:val="1"/>
          <w:bCs w:val="1"/>
          <w:color w:val="000000"/>
          <w:sz w:val="24"/>
          <w:szCs w:val="24"/>
          <w:rtl w:val="0"/>
        </w:rPr>
        <w:t xml:space="preserve">Implicaciones para usuarios ecuatorianos</w:t>
      </w:r>
    </w:p>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ciudadano ecuatoriano que utilice ChatGPT se encuentra ante una situación jurídicamente problemática: sus datos pueden estar siendo procesados para entrenamiento de modelos sin consentimiento válido bajo legislación ecuatoriana, y su posterior opt-out no remedia completamente la violación inicial. La LOPDP faculta a la Autoridad de Protección de Datos Personales para imponer sanciones de hasta 1% de la facturación global de empresas infractoras, aunque la aplicación extraterritorial presenta desafíos prácticos significativos.</w:t>
      </w:r>
    </w:p>
    <w:p w:rsidR="00000000" w:rsidDel="00000000" w:rsidP="00000000" w:rsidRDefault="00000000" w:rsidRPr="00000000" w14:paraId="0000005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pStyle w:val="Heading3"/>
        <w:keepNext w:val="0"/>
        <w:keepLines w:val="0"/>
        <w:numPr>
          <w:ilvl w:val="0"/>
          <w:numId w:val="4"/>
        </w:numPr>
        <w:shd w:fill="ffffff" w:val="clear"/>
        <w:spacing w:after="240" w:before="360" w:line="300" w:lineRule="auto"/>
        <w:ind w:left="720" w:hanging="360"/>
        <w:rPr>
          <w:rFonts w:ascii="Times New Roman" w:cs="Times New Roman" w:eastAsia="Times New Roman" w:hAnsi="Times New Roman"/>
          <w:b w:val="1"/>
          <w:bCs w:val="1"/>
          <w:color w:val="1f2328"/>
          <w:sz w:val="24"/>
          <w:szCs w:val="24"/>
        </w:rPr>
      </w:pPr>
      <w:bookmarkStart w:colFirst="0" w:colLast="0" w:name="_atlf253ew4oq" w:id="25"/>
      <w:bookmarkEnd w:id="25"/>
      <w:r w:rsidDel="00000000" w:rsidR="00000000" w:rsidRPr="00000000">
        <w:rPr>
          <w:rFonts w:ascii="Times New Roman" w:cs="Times New Roman" w:eastAsia="Times New Roman" w:hAnsi="Times New Roman"/>
          <w:b w:val="1"/>
          <w:bCs w:val="1"/>
          <w:color w:val="1f2328"/>
          <w:sz w:val="24"/>
          <w:szCs w:val="24"/>
          <w:rtl w:val="0"/>
        </w:rPr>
        <w:t xml:space="preserve">Legal Risk Scenarios: Research a recent legal challenge or public controversy where an AI company (e.g., Meta, LinkedIn, or Amazon) was accused of using previously collected user-generated content or biometric data for a new, secondary AI training purpose without proper consent. Briefly summarize the nature of the alleged violation (e.g., biometric privacy, repurposing of communication data).  </w:t>
      </w:r>
    </w:p>
    <w:p w:rsidR="00000000" w:rsidDel="00000000" w:rsidP="00000000" w:rsidRDefault="00000000" w:rsidRPr="00000000" w14:paraId="0000005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m9lixx12cktn" w:id="26"/>
      <w:bookmarkEnd w:id="26"/>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ahp3b6o95zd9" w:id="27"/>
      <w:bookmarkEnd w:id="27"/>
      <w:r w:rsidDel="00000000" w:rsidR="00000000" w:rsidRPr="00000000">
        <w:rPr>
          <w:rFonts w:ascii="Times New Roman" w:cs="Times New Roman" w:eastAsia="Times New Roman" w:hAnsi="Times New Roman"/>
          <w:b w:val="1"/>
          <w:bCs w:val="1"/>
          <w:color w:val="000000"/>
          <w:sz w:val="24"/>
          <w:szCs w:val="24"/>
          <w:rtl w:val="0"/>
        </w:rPr>
        <w:t xml:space="preserve">Naturaleza de la controversia</w:t>
      </w:r>
    </w:p>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mayo de 2025, la organización europea de derechos digitales NOYB envió una carta de cese y desistimiento a Meta Platforms Ireland Limited, amenazando con iniciar una demanda colectiva europea por el uso de datos personales de usuarios de Facebook e Instagram para entrenar modelos de IA, incluyendo Llama (NOYB, 2025).</w:t>
      </w:r>
    </w:p>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denuncia documenta que Meta planificaba, desde el 27 de mayo de 2025, utilizar publicaciones públicas de adultos en la Unión Europea —incluyendo contenido que se remonta a 2007, imágenes privadas, y datos de tracking— para entrenar sus modelos de IA generativa. La base legal invocada por Meta fue el "interés legítimo", evadiendo el requisito de consentimiento explícito opt-in que exige el GDPR para este tipo de procesamiento de alto riesgo.</w:t>
      </w:r>
    </w:p>
    <w:p w:rsidR="00000000" w:rsidDel="00000000" w:rsidP="00000000" w:rsidRDefault="00000000" w:rsidRPr="00000000" w14:paraId="0000005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ryogjm14zyh" w:id="28"/>
      <w:bookmarkEnd w:id="28"/>
      <w:r w:rsidDel="00000000" w:rsidR="00000000" w:rsidRPr="00000000">
        <w:rPr>
          <w:rFonts w:ascii="Times New Roman" w:cs="Times New Roman" w:eastAsia="Times New Roman" w:hAnsi="Times New Roman"/>
          <w:b w:val="1"/>
          <w:bCs w:val="1"/>
          <w:color w:val="000000"/>
          <w:sz w:val="24"/>
          <w:szCs w:val="24"/>
          <w:rtl w:val="0"/>
        </w:rPr>
        <w:t xml:space="preserve">Naturaleza específica de la violación alegada</w:t>
      </w:r>
    </w:p>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violación principal constituye una reutilización de datos para propósito secundario no consentido. Los usuarios de Facebook e Instagram proporcionaron originalmente sus datos para interacción social, no para entrenamiento de sistemas de IA. El Reglamento General de Protección de Datos (GDPR) establece en su artículo 6(4) que cuando el tratamiento tiene un propósito diferente al original, requiere nuevo consentimiento específico.</w:t>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NOYB argumenta que una vez los datos se incorporan en modelos de código abierto como Llama, se vuelve técnicamente imposible cumplir con derechos fundamentales del GDPR como el derecho al olvido (artículo 17) y el derecho de rectificación (artículo 16). Como expresó Max Schrems, fundador de NOYB: </w:t>
      </w:r>
      <w:r w:rsidDel="00000000" w:rsidR="00000000" w:rsidRPr="00000000">
        <w:rPr>
          <w:rFonts w:ascii="Times New Roman" w:cs="Times New Roman" w:eastAsia="Times New Roman" w:hAnsi="Times New Roman"/>
          <w:i w:val="1"/>
          <w:iCs w:val="1"/>
          <w:sz w:val="24"/>
          <w:szCs w:val="24"/>
          <w:rtl w:val="0"/>
        </w:rPr>
        <w:t xml:space="preserve">"Once personal data has become part of an AI model, there is no way to remove it"</w:t>
      </w:r>
      <w:r w:rsidDel="00000000" w:rsidR="00000000" w:rsidRPr="00000000">
        <w:rPr>
          <w:rFonts w:ascii="Times New Roman" w:cs="Times New Roman" w:eastAsia="Times New Roman" w:hAnsi="Times New Roman"/>
          <w:sz w:val="24"/>
          <w:szCs w:val="24"/>
          <w:rtl w:val="0"/>
        </w:rPr>
        <w:t xml:space="preserve"> (NOYB, 2025).</w:t>
      </w:r>
    </w:p>
    <w:p w:rsidR="00000000" w:rsidDel="00000000" w:rsidP="00000000" w:rsidRDefault="00000000" w:rsidRPr="00000000" w14:paraId="0000006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6ul5p5jb8azi" w:id="29"/>
      <w:bookmarkEnd w:id="29"/>
      <w:r w:rsidDel="00000000" w:rsidR="00000000" w:rsidRPr="00000000">
        <w:rPr>
          <w:rFonts w:ascii="Times New Roman" w:cs="Times New Roman" w:eastAsia="Times New Roman" w:hAnsi="Times New Roman"/>
          <w:b w:val="1"/>
          <w:bCs w:val="1"/>
          <w:color w:val="000000"/>
          <w:sz w:val="24"/>
          <w:szCs w:val="24"/>
          <w:rtl w:val="0"/>
        </w:rPr>
        <w:t xml:space="preserve">Estado actual y potencial impacto</w:t>
      </w:r>
    </w:p>
    <w:p w:rsidR="00000000" w:rsidDel="00000000" w:rsidP="00000000" w:rsidRDefault="00000000" w:rsidRPr="00000000" w14:paraId="00000063">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En junio de 2024, la Comisión de Protección de Datos de Irlanda (DPC) había solicitado una suspensión temporal del entrenamiento de IA de Meta.</w:t>
      </w:r>
      <w:hyperlink r:id="rId19">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Sin embargo, en mayo de 2025, la misma DPC autorizó a Meta a reiniciar el entrenamiento con ciertas condiciones,</w:t>
      </w:r>
      <w:hyperlink r:id="rId2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decisión que NOYB calificó como </w:t>
      </w:r>
      <w:r w:rsidDel="00000000" w:rsidR="00000000" w:rsidRPr="00000000">
        <w:rPr>
          <w:rFonts w:ascii="Times New Roman" w:cs="Times New Roman" w:eastAsia="Times New Roman" w:hAnsi="Times New Roman"/>
          <w:i w:val="1"/>
          <w:iCs w:val="1"/>
          <w:sz w:val="24"/>
          <w:szCs w:val="24"/>
          <w:rtl w:val="0"/>
        </w:rPr>
        <w:t xml:space="preserve">"half-hearted"</w:t>
      </w:r>
      <w:r w:rsidDel="00000000" w:rsidR="00000000" w:rsidRPr="00000000">
        <w:rPr>
          <w:rFonts w:ascii="Times New Roman" w:cs="Times New Roman" w:eastAsia="Times New Roman" w:hAnsi="Times New Roman"/>
          <w:sz w:val="24"/>
          <w:szCs w:val="24"/>
          <w:rtl w:val="0"/>
        </w:rPr>
        <w:t xml:space="preserve"> (NOYB, 2025). La demanda colectiva potencial podría involucrar hasta 400 millones de usuarios europeos con daños estimados de hasta €200 mil millones.</w:t>
      </w:r>
      <w:hyperlink r:id="rId21">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es particularmente relevante para el análisis bajo LOPDP porque ilustra cómo datos recopilados para un propósito específico pueden ser reutilizados años después para entrenar IA sin consentimiento renovado —una práctica que violaría directamente el principio de finalidad establecido en el artículo 10 de la ley ecuatoriana.</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pStyle w:val="Heading2"/>
        <w:keepNext w:val="0"/>
        <w:keepLines w:val="0"/>
        <w:pBdr>
          <w:bottom w:color="auto" w:space="5" w:sz="0" w:val="none"/>
        </w:pBdr>
        <w:shd w:fill="ffffff" w:val="clear"/>
        <w:spacing w:after="240" w:line="300" w:lineRule="auto"/>
        <w:rPr>
          <w:rFonts w:ascii="Times New Roman" w:cs="Times New Roman" w:eastAsia="Times New Roman" w:hAnsi="Times New Roman"/>
          <w:b w:val="1"/>
          <w:bCs w:val="1"/>
          <w:color w:val="1f2328"/>
          <w:sz w:val="24"/>
          <w:szCs w:val="24"/>
        </w:rPr>
      </w:pPr>
      <w:bookmarkStart w:colFirst="0" w:colLast="0" w:name="_emxq9qrean8j" w:id="30"/>
      <w:bookmarkEnd w:id="30"/>
      <w:r w:rsidDel="00000000" w:rsidR="00000000" w:rsidRPr="00000000">
        <w:rPr>
          <w:rFonts w:ascii="Times New Roman" w:cs="Times New Roman" w:eastAsia="Times New Roman" w:hAnsi="Times New Roman"/>
          <w:b w:val="1"/>
          <w:bCs w:val="1"/>
          <w:color w:val="1f2328"/>
          <w:sz w:val="24"/>
          <w:szCs w:val="24"/>
          <w:rtl w:val="0"/>
        </w:rPr>
        <w:t xml:space="preserve">3. Technical Risk Assessment and Mitigation</w:t>
      </w:r>
    </w:p>
    <w:p w:rsidR="00000000" w:rsidDel="00000000" w:rsidP="00000000" w:rsidRDefault="00000000" w:rsidRPr="00000000" w14:paraId="00000067">
      <w:pPr>
        <w:shd w:fill="ffffff" w:val="clear"/>
        <w:spacing w:after="24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AI systems, especially those processing sensitive data, require robust security and governance to prevent privacy harms and data access risks. This module focuses on threat modeling and risk management.</w:t>
      </w:r>
    </w:p>
    <w:p w:rsidR="00000000" w:rsidDel="00000000" w:rsidP="00000000" w:rsidRDefault="00000000" w:rsidRPr="00000000" w14:paraId="00000068">
      <w:pPr>
        <w:pStyle w:val="Heading3"/>
        <w:keepNext w:val="0"/>
        <w:keepLines w:val="0"/>
        <w:numPr>
          <w:ilvl w:val="0"/>
          <w:numId w:val="2"/>
        </w:numPr>
        <w:shd w:fill="ffffff" w:val="clear"/>
        <w:spacing w:after="240" w:before="360" w:line="300" w:lineRule="auto"/>
        <w:ind w:left="720" w:hanging="360"/>
        <w:rPr>
          <w:rFonts w:ascii="Times New Roman" w:cs="Times New Roman" w:eastAsia="Times New Roman" w:hAnsi="Times New Roman"/>
          <w:b w:val="1"/>
          <w:bCs w:val="1"/>
          <w:color w:val="1f2328"/>
          <w:sz w:val="24"/>
          <w:szCs w:val="24"/>
        </w:rPr>
      </w:pPr>
      <w:bookmarkStart w:colFirst="0" w:colLast="0" w:name="_l4ivjped2mct" w:id="31"/>
      <w:bookmarkEnd w:id="31"/>
      <w:r w:rsidDel="00000000" w:rsidR="00000000" w:rsidRPr="00000000">
        <w:rPr>
          <w:rFonts w:ascii="Times New Roman" w:cs="Times New Roman" w:eastAsia="Times New Roman" w:hAnsi="Times New Roman"/>
          <w:b w:val="1"/>
          <w:bCs w:val="1"/>
          <w:color w:val="1f2328"/>
          <w:sz w:val="24"/>
          <w:szCs w:val="24"/>
          <w:rtl w:val="0"/>
        </w:rPr>
        <w:t xml:space="preserve">Choose one high-risk application and detail a specific scenario where it could lead to severe harm or unauthorized data access</w:t>
      </w:r>
    </w:p>
    <w:p w:rsidR="00000000" w:rsidDel="00000000" w:rsidP="00000000" w:rsidRDefault="00000000" w:rsidRPr="00000000" w14:paraId="0000006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sy81uu4vt8xa" w:id="32"/>
      <w:bookmarkEnd w:id="32"/>
      <w:r w:rsidDel="00000000" w:rsidR="00000000" w:rsidRPr="00000000">
        <w:rPr>
          <w:rFonts w:ascii="Times New Roman" w:cs="Times New Roman" w:eastAsia="Times New Roman" w:hAnsi="Times New Roman"/>
          <w:b w:val="1"/>
          <w:bCs w:val="1"/>
          <w:color w:val="000000"/>
          <w:sz w:val="24"/>
          <w:szCs w:val="24"/>
          <w:rtl w:val="0"/>
        </w:rPr>
        <w:t xml:space="preserve">Escenario específico de daño severo</w:t>
      </w:r>
    </w:p>
    <w:p w:rsidR="00000000" w:rsidDel="00000000" w:rsidP="00000000" w:rsidRDefault="00000000" w:rsidRPr="00000000" w14:paraId="000000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Consideremos la implementación de un chatbot de IA para triaje médico inicial en un sistema de salud pública latinoamericano. El sistema recibe síntomas de pacientes y sugiere prioridades de atención o posibles diagnósticos preliminares.</w:t>
      </w:r>
    </w:p>
    <w:p w:rsidR="00000000" w:rsidDel="00000000" w:rsidP="00000000" w:rsidRDefault="00000000" w:rsidRPr="00000000" w14:paraId="000000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Escenario de daño</w:t>
      </w:r>
      <w:r w:rsidDel="00000000" w:rsidR="00000000" w:rsidRPr="00000000">
        <w:rPr>
          <w:rFonts w:ascii="Times New Roman" w:cs="Times New Roman" w:eastAsia="Times New Roman" w:hAnsi="Times New Roman"/>
          <w:sz w:val="24"/>
          <w:szCs w:val="24"/>
          <w:rtl w:val="0"/>
        </w:rPr>
        <w:t xml:space="preserve">: Un paciente de 45 años reporta al chatbot dolor torácico leve, fatiga y malestar general. El sistema, entrenado predominantemente con datos de poblaciones caucásicas, interpreta estos síntomas como ansiedad o condición musculoesquelética menor, asignando baja prioridad. En realidad, el paciente presenta síntomas atípicos de infarto agudo de miocardio —presentación más común en poblaciones latinas y en mujeres que el dolor torácico clásico. El retraso en atención resulta en daño cardíaco permanente o muerte.</w:t>
      </w:r>
    </w:p>
    <w:p w:rsidR="00000000" w:rsidDel="00000000" w:rsidP="00000000" w:rsidRDefault="00000000" w:rsidRPr="00000000" w14:paraId="000000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escenario ilustra múltiples vectores de riesgo:</w:t>
      </w:r>
    </w:p>
    <w:p w:rsidR="00000000" w:rsidDel="00000000" w:rsidP="00000000" w:rsidRDefault="00000000" w:rsidRPr="00000000" w14:paraId="0000006D">
      <w:pPr>
        <w:numPr>
          <w:ilvl w:val="1"/>
          <w:numId w:val="2"/>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Sesgo en datos de entrenamiento</w:t>
      </w:r>
      <w:r w:rsidDel="00000000" w:rsidR="00000000" w:rsidRPr="00000000">
        <w:rPr>
          <w:rFonts w:ascii="Times New Roman" w:cs="Times New Roman" w:eastAsia="Times New Roman" w:hAnsi="Times New Roman"/>
          <w:sz w:val="24"/>
          <w:szCs w:val="24"/>
          <w:rtl w:val="0"/>
        </w:rPr>
        <w:t xml:space="preserve">: La investigación documenta que algoritmos médicos de IA frecuentemente subrrepresentan poblaciones no-caucásicas, resultando en menor precisión diagnóstica para estos grupos (Obermeyer et al., 2019).</w:t>
      </w:r>
    </w:p>
    <w:p w:rsidR="00000000" w:rsidDel="00000000" w:rsidP="00000000" w:rsidRDefault="00000000" w:rsidRPr="00000000" w14:paraId="0000006E">
      <w:pPr>
        <w:numPr>
          <w:ilvl w:val="1"/>
          <w:numId w:val="2"/>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Automatización de decisiones de alto impacto</w:t>
      </w:r>
      <w:r w:rsidDel="00000000" w:rsidR="00000000" w:rsidRPr="00000000">
        <w:rPr>
          <w:rFonts w:ascii="Times New Roman" w:cs="Times New Roman" w:eastAsia="Times New Roman" w:hAnsi="Times New Roman"/>
          <w:sz w:val="24"/>
          <w:szCs w:val="24"/>
          <w:rtl w:val="0"/>
        </w:rPr>
        <w:t xml:space="preserve">: El artículo 20 de la LOPDP establece el derecho a no ser objeto de una decisión basada única o parcialmente en valoraciones automatizadas, incluida la elaboración de perfiles, que produzcan efectos jurídicos o que atenten contra los derechos y libertades fundamentales del titular.</w:t>
      </w:r>
    </w:p>
    <w:p w:rsidR="00000000" w:rsidDel="00000000" w:rsidP="00000000" w:rsidRDefault="00000000" w:rsidRPr="00000000" w14:paraId="0000006F">
      <w:pPr>
        <w:numPr>
          <w:ilvl w:val="1"/>
          <w:numId w:val="2"/>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Acceso no autorizado a datos sensibles</w:t>
      </w:r>
      <w:r w:rsidDel="00000000" w:rsidR="00000000" w:rsidRPr="00000000">
        <w:rPr>
          <w:rFonts w:ascii="Times New Roman" w:cs="Times New Roman" w:eastAsia="Times New Roman" w:hAnsi="Times New Roman"/>
          <w:sz w:val="24"/>
          <w:szCs w:val="24"/>
          <w:rtl w:val="0"/>
        </w:rPr>
        <w:t xml:space="preserve">: El artículo 25 de la LOPDP establece las categorías especiales de datos personales, incluyendo entre ellos los datos sensibles y los datos de salud. El artículo 26 regula el tratamiento de datos sensibles, prohibiéndolo salvo en circunstancias específicas como el consentimiento explícito del titular o necesidad para proteger intereses vitales. Un chatbot médico con memorización de modelo (ver sección 3c) podría inadvertidamente revelar información de salud de otros pacientes.</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pStyle w:val="Heading3"/>
        <w:keepNext w:val="0"/>
        <w:keepLines w:val="0"/>
        <w:numPr>
          <w:ilvl w:val="0"/>
          <w:numId w:val="2"/>
        </w:numPr>
        <w:shd w:fill="ffffff" w:val="clear"/>
        <w:spacing w:after="240" w:before="360" w:line="300" w:lineRule="auto"/>
        <w:ind w:left="720" w:hanging="360"/>
        <w:rPr>
          <w:rFonts w:ascii="Times New Roman" w:cs="Times New Roman" w:eastAsia="Times New Roman" w:hAnsi="Times New Roman"/>
          <w:b w:val="1"/>
          <w:bCs w:val="1"/>
          <w:color w:val="1f2328"/>
          <w:sz w:val="24"/>
          <w:szCs w:val="24"/>
        </w:rPr>
      </w:pPr>
      <w:bookmarkStart w:colFirst="0" w:colLast="0" w:name="_bpgp0qxi6yqi" w:id="33"/>
      <w:bookmarkEnd w:id="33"/>
      <w:r w:rsidDel="00000000" w:rsidR="00000000" w:rsidRPr="00000000">
        <w:rPr>
          <w:rFonts w:ascii="Times New Roman" w:cs="Times New Roman" w:eastAsia="Times New Roman" w:hAnsi="Times New Roman"/>
          <w:b w:val="1"/>
          <w:bCs w:val="1"/>
          <w:color w:val="1f2328"/>
          <w:sz w:val="24"/>
          <w:szCs w:val="24"/>
          <w:rtl w:val="0"/>
        </w:rPr>
        <w:t xml:space="preserve">Assume we deploy a new AI-driven predictive policing system deployed in a major Latin American city. Describe how historical bias present in the training data (e.g., police reporting practices) could cause the system to disproportionately target and surveil marginalized communities , resulting in discriminatory legal effects (a violation of LOPDP’s principle of proportionality and the right to object to automated decisions ).  </w:t>
      </w:r>
    </w:p>
    <w:p w:rsidR="00000000" w:rsidDel="00000000" w:rsidP="00000000" w:rsidRDefault="00000000" w:rsidRPr="00000000" w14:paraId="0000007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7j07hpsfwmpu" w:id="34"/>
      <w:bookmarkEnd w:id="34"/>
      <w:r w:rsidDel="00000000" w:rsidR="00000000" w:rsidRPr="00000000">
        <w:rPr>
          <w:rFonts w:ascii="Times New Roman" w:cs="Times New Roman" w:eastAsia="Times New Roman" w:hAnsi="Times New Roman"/>
          <w:b w:val="1"/>
          <w:bCs w:val="1"/>
          <w:color w:val="000000"/>
          <w:sz w:val="24"/>
          <w:szCs w:val="24"/>
          <w:rtl w:val="0"/>
        </w:rPr>
        <w:t xml:space="preserve">Escenario: Sistema de vigilancia predictiva en ciudad latinoamericana</w:t>
      </w:r>
    </w:p>
    <w:p w:rsidR="00000000" w:rsidDel="00000000" w:rsidP="00000000" w:rsidRDefault="00000000" w:rsidRPr="00000000" w14:paraId="000000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Supongamos el despliegue de un sistema de policiamiento predictivo similar a PredPol o Palantir en una ciudad importante de América Latina. El sistema utiliza datos históricos de arrestos, denuncias, y reportes policiales para generar "zonas calientes" (</w:t>
      </w:r>
      <w:r w:rsidDel="00000000" w:rsidR="00000000" w:rsidRPr="00000000">
        <w:rPr>
          <w:rFonts w:ascii="Times New Roman" w:cs="Times New Roman" w:eastAsia="Times New Roman" w:hAnsi="Times New Roman"/>
          <w:i w:val="1"/>
          <w:iCs w:val="1"/>
          <w:sz w:val="24"/>
          <w:szCs w:val="24"/>
          <w:rtl w:val="0"/>
        </w:rPr>
        <w:t xml:space="preserve">hotspots</w:t>
      </w:r>
      <w:r w:rsidDel="00000000" w:rsidR="00000000" w:rsidRPr="00000000">
        <w:rPr>
          <w:rFonts w:ascii="Times New Roman" w:cs="Times New Roman" w:eastAsia="Times New Roman" w:hAnsi="Times New Roman"/>
          <w:sz w:val="24"/>
          <w:szCs w:val="24"/>
          <w:rtl w:val="0"/>
        </w:rPr>
        <w:t xml:space="preserve">) donde se predice mayor probabilidad de crímenes, y/o "puntajes de riesgo" para individuos específicos.</w:t>
      </w:r>
    </w:p>
    <w:p w:rsidR="00000000" w:rsidDel="00000000" w:rsidP="00000000" w:rsidRDefault="00000000" w:rsidRPr="00000000" w14:paraId="0000007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jxs9c2ftkwtj" w:id="35"/>
      <w:bookmarkEnd w:id="35"/>
      <w:r w:rsidDel="00000000" w:rsidR="00000000" w:rsidRPr="00000000">
        <w:rPr>
          <w:rFonts w:ascii="Times New Roman" w:cs="Times New Roman" w:eastAsia="Times New Roman" w:hAnsi="Times New Roman"/>
          <w:b w:val="1"/>
          <w:bCs w:val="1"/>
          <w:color w:val="000000"/>
          <w:sz w:val="24"/>
          <w:szCs w:val="24"/>
          <w:rtl w:val="0"/>
        </w:rPr>
        <w:t xml:space="preserve">Mecanismo de perpetuación del sesgo histórico</w:t>
      </w:r>
    </w:p>
    <w:p w:rsidR="00000000" w:rsidDel="00000000" w:rsidP="00000000" w:rsidRDefault="00000000" w:rsidRPr="00000000" w14:paraId="000000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datos de entrenamiento reflejan décadas de prácticas policiales discriminatorias documentadas en la región. En Brasil, por ejemplo, el 76.6% de víctimas de homicidio son afrobrasileños (Amnesty International, 2025).La ONG Temblores documentó 4,687 casos de actos violentos por parte de las fuerzas públicas entre el 28 de abril y el 26 de junio de 2021 durante las protestas en Colombia, incluyendo 44 homicidios, 1,468 víctimas de violencia física policial, y 1,832 detenciones arbitrarias (Temblores, 2021).</w:t>
      </w:r>
    </w:p>
    <w:p w:rsidR="00000000" w:rsidDel="00000000" w:rsidP="00000000" w:rsidRDefault="00000000" w:rsidRPr="00000000" w14:paraId="000000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ciclo de retroalimentación (</w:t>
      </w:r>
      <w:r w:rsidDel="00000000" w:rsidR="00000000" w:rsidRPr="00000000">
        <w:rPr>
          <w:rFonts w:ascii="Times New Roman" w:cs="Times New Roman" w:eastAsia="Times New Roman" w:hAnsi="Times New Roman"/>
          <w:i w:val="1"/>
          <w:iCs w:val="1"/>
          <w:sz w:val="24"/>
          <w:szCs w:val="24"/>
          <w:rtl w:val="0"/>
        </w:rPr>
        <w:t xml:space="preserve">feedback loop</w:t>
      </w:r>
      <w:r w:rsidDel="00000000" w:rsidR="00000000" w:rsidRPr="00000000">
        <w:rPr>
          <w:rFonts w:ascii="Times New Roman" w:cs="Times New Roman" w:eastAsia="Times New Roman" w:hAnsi="Times New Roman"/>
          <w:sz w:val="24"/>
          <w:szCs w:val="24"/>
          <w:rtl w:val="0"/>
        </w:rPr>
        <w:t xml:space="preserve">) opera así:</w:t>
      </w:r>
    </w:p>
    <w:p w:rsidR="00000000" w:rsidDel="00000000" w:rsidP="00000000" w:rsidRDefault="00000000" w:rsidRPr="00000000" w14:paraId="00000077">
      <w:pPr>
        <w:numPr>
          <w:ilvl w:val="0"/>
          <w:numId w:val="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Datos históricos sesgados</w:t>
      </w:r>
      <w:r w:rsidDel="00000000" w:rsidR="00000000" w:rsidRPr="00000000">
        <w:rPr>
          <w:rFonts w:ascii="Times New Roman" w:cs="Times New Roman" w:eastAsia="Times New Roman" w:hAnsi="Times New Roman"/>
          <w:sz w:val="24"/>
          <w:szCs w:val="24"/>
          <w:rtl w:val="0"/>
        </w:rPr>
        <w:t xml:space="preserve">: Barrios marginalizados muestran mayores tasas de arresto no porque cometan más crímenes, sino porque históricamente reciben mayor vigilancia policial.</w:t>
      </w:r>
    </w:p>
    <w:p w:rsidR="00000000" w:rsidDel="00000000" w:rsidP="00000000" w:rsidRDefault="00000000" w:rsidRPr="00000000" w14:paraId="00000078">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Predicción algorítmica</w:t>
      </w:r>
      <w:r w:rsidDel="00000000" w:rsidR="00000000" w:rsidRPr="00000000">
        <w:rPr>
          <w:rFonts w:ascii="Times New Roman" w:cs="Times New Roman" w:eastAsia="Times New Roman" w:hAnsi="Times New Roman"/>
          <w:sz w:val="24"/>
          <w:szCs w:val="24"/>
          <w:rtl w:val="0"/>
        </w:rPr>
        <w:t xml:space="preserve">: El sistema identifica estos mismos barrios como "alto riesgo" basándose en datos históricos de arrestos.</w:t>
      </w:r>
    </w:p>
    <w:p w:rsidR="00000000" w:rsidDel="00000000" w:rsidP="00000000" w:rsidRDefault="00000000" w:rsidRPr="00000000" w14:paraId="00000079">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Incremento de patrullaje</w:t>
      </w:r>
      <w:r w:rsidDel="00000000" w:rsidR="00000000" w:rsidRPr="00000000">
        <w:rPr>
          <w:rFonts w:ascii="Times New Roman" w:cs="Times New Roman" w:eastAsia="Times New Roman" w:hAnsi="Times New Roman"/>
          <w:sz w:val="24"/>
          <w:szCs w:val="24"/>
          <w:rtl w:val="0"/>
        </w:rPr>
        <w:t xml:space="preserve">: Se despliegan más oficiales a estas zonas, resultando en más arrestos (incluso por infracciones menores que pasarían desapercibidas en otras zonas).</w:t>
      </w:r>
    </w:p>
    <w:p w:rsidR="00000000" w:rsidDel="00000000" w:rsidP="00000000" w:rsidRDefault="00000000" w:rsidRPr="00000000" w14:paraId="0000007A">
      <w:pPr>
        <w:numPr>
          <w:ilvl w:val="0"/>
          <w:numId w:val="1"/>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Refuerzo del sesgo</w:t>
      </w:r>
      <w:r w:rsidDel="00000000" w:rsidR="00000000" w:rsidRPr="00000000">
        <w:rPr>
          <w:rFonts w:ascii="Times New Roman" w:cs="Times New Roman" w:eastAsia="Times New Roman" w:hAnsi="Times New Roman"/>
          <w:sz w:val="24"/>
          <w:szCs w:val="24"/>
          <w:rtl w:val="0"/>
        </w:rPr>
        <w:t xml:space="preserve">: Los nuevos arrestos "confirman" las predicciones del algoritmo, creando datos que perpetúan el ciclo.</w:t>
      </w:r>
    </w:p>
    <w:p w:rsidR="00000000" w:rsidDel="00000000" w:rsidP="00000000" w:rsidRDefault="00000000" w:rsidRPr="00000000" w14:paraId="0000007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6osx9zlaz7ve" w:id="36"/>
      <w:bookmarkEnd w:id="36"/>
      <w:r w:rsidDel="00000000" w:rsidR="00000000" w:rsidRPr="00000000">
        <w:rPr>
          <w:rFonts w:ascii="Times New Roman" w:cs="Times New Roman" w:eastAsia="Times New Roman" w:hAnsi="Times New Roman"/>
          <w:b w:val="1"/>
          <w:bCs w:val="1"/>
          <w:color w:val="000000"/>
          <w:sz w:val="24"/>
          <w:szCs w:val="24"/>
          <w:rtl w:val="0"/>
        </w:rPr>
        <w:t xml:space="preserve">Evidencia empírica de discriminación algorítmica</w:t>
      </w:r>
    </w:p>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estudio de ProPublica sobre COMPAS (2016), el sistema de evaluación de riesgo de reincidencia más utilizado en Estados Unidos, encontró que personas negras incorrectamente clasificadas como "alto riesgo" representaban el 45% de casos, versus solo 23% para personas blancas que fue casi el doble de falsos positivos (Angwin et al., 2016). El estudio de Lum e Isaac (2016) sobre PredPol en Oakland demostró que barrios negros serían vigilados al doble de tasa que barrios blancos para delitos de drogas, pese a que encuestas de salud indican tasas de consumo similares entre grupos raciales.</w:t>
      </w:r>
    </w:p>
    <w:p w:rsidR="00000000" w:rsidDel="00000000" w:rsidP="00000000" w:rsidRDefault="00000000" w:rsidRPr="00000000" w14:paraId="0000007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rgocwqbwcykw" w:id="37"/>
      <w:bookmarkEnd w:id="37"/>
      <w:r w:rsidDel="00000000" w:rsidR="00000000" w:rsidRPr="00000000">
        <w:rPr>
          <w:rFonts w:ascii="Times New Roman" w:cs="Times New Roman" w:eastAsia="Times New Roman" w:hAnsi="Times New Roman"/>
          <w:b w:val="1"/>
          <w:bCs w:val="1"/>
          <w:color w:val="000000"/>
          <w:sz w:val="24"/>
          <w:szCs w:val="24"/>
          <w:rtl w:val="0"/>
        </w:rPr>
        <w:t xml:space="preserve">Casos en América Latina</w:t>
      </w:r>
    </w:p>
    <w:p w:rsidR="00000000" w:rsidDel="00000000" w:rsidP="00000000" w:rsidRDefault="00000000" w:rsidRPr="00000000" w14:paraId="000000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Brasil, la implementación de reconocimiento facial en Salvador de Bahía ha resultado en múltiples detenciones de inocentes, incluyendo un guardia de seguridad detenido por "95% de similitud" con un criminal buscado pese a nunca haber sido procesado (R3D, 2023). La Operación Contención de noviembre de 2025 en favelas de Río de Janeiro, que utilizó drones con reconocimiento facial, resultó en 121 muertes, la operación más letal en la historia del estado, con víctimas mayoritariamente negras y pobres (Amnesty International, 2025).</w:t>
      </w:r>
    </w:p>
    <w:p w:rsidR="00000000" w:rsidDel="00000000" w:rsidP="00000000" w:rsidRDefault="00000000" w:rsidRPr="00000000" w14:paraId="000000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Colombia, documentos filtrados del Comando General de Fuerzas Militares revelan interés en identificar "amenazas" en redes sociales, mientras la Fundación Karisma ha denunciado uso de IA para vigilar manifestantes durante las protestas de 2021, sin marcos regulatorios claros ni protocolos de derechos humanos (Fundación Karisma, 2023).</w:t>
      </w:r>
    </w:p>
    <w:p w:rsidR="00000000" w:rsidDel="00000000" w:rsidP="00000000" w:rsidRDefault="00000000" w:rsidRPr="00000000" w14:paraId="0000008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vn37lueoy2td" w:id="38"/>
      <w:bookmarkEnd w:id="38"/>
      <w:r w:rsidDel="00000000" w:rsidR="00000000" w:rsidRPr="00000000">
        <w:rPr>
          <w:rFonts w:ascii="Times New Roman" w:cs="Times New Roman" w:eastAsia="Times New Roman" w:hAnsi="Times New Roman"/>
          <w:b w:val="1"/>
          <w:bCs w:val="1"/>
          <w:color w:val="000000"/>
          <w:sz w:val="24"/>
          <w:szCs w:val="24"/>
          <w:rtl w:val="0"/>
        </w:rPr>
        <w:t xml:space="preserve">Violaciones específicas a la LOPDP</w:t>
      </w:r>
    </w:p>
    <w:p w:rsidR="00000000" w:rsidDel="00000000" w:rsidP="00000000" w:rsidRDefault="00000000" w:rsidRPr="00000000" w14:paraId="000000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escenario viola múltiples disposiciones de la LOPDP:</w:t>
      </w:r>
    </w:p>
    <w:p w:rsidR="00000000" w:rsidDel="00000000" w:rsidP="00000000" w:rsidRDefault="00000000" w:rsidRPr="00000000" w14:paraId="00000082">
      <w:pPr>
        <w:numPr>
          <w:ilvl w:val="0"/>
          <w:numId w:val="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Principio de proporcionalidad</w:t>
      </w:r>
      <w:r w:rsidDel="00000000" w:rsidR="00000000" w:rsidRPr="00000000">
        <w:rPr>
          <w:rFonts w:ascii="Times New Roman" w:cs="Times New Roman" w:eastAsia="Times New Roman" w:hAnsi="Times New Roman"/>
          <w:sz w:val="24"/>
          <w:szCs w:val="24"/>
          <w:rtl w:val="0"/>
        </w:rPr>
        <w:t xml:space="preserve"> (artículo 10, literal f): El tratamiento masivo de datos para vigilancia no es proporcional al fin perseguido cuando resulta en discriminación sistemática.</w:t>
      </w:r>
    </w:p>
    <w:p w:rsidR="00000000" w:rsidDel="00000000" w:rsidP="00000000" w:rsidRDefault="00000000" w:rsidRPr="00000000" w14:paraId="00000083">
      <w:pPr>
        <w:numPr>
          <w:ilvl w:val="0"/>
          <w:numId w:val="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Derecho a no ser objeto de decisiones automatizadas</w:t>
      </w:r>
      <w:r w:rsidDel="00000000" w:rsidR="00000000" w:rsidRPr="00000000">
        <w:rPr>
          <w:rFonts w:ascii="Times New Roman" w:cs="Times New Roman" w:eastAsia="Times New Roman" w:hAnsi="Times New Roman"/>
          <w:sz w:val="24"/>
          <w:szCs w:val="24"/>
          <w:rtl w:val="0"/>
        </w:rPr>
        <w:t xml:space="preserve"> (artículo 20): Las "listas de vigilancia" y "puntajes de riesgo" generados algorítmicamente producen efectos jurídicos significativos (mayor escrutinio policial, detenciones) basados únicamente en valoraciones automatizadas.</w:t>
      </w:r>
    </w:p>
    <w:p w:rsidR="00000000" w:rsidDel="00000000" w:rsidP="00000000" w:rsidRDefault="00000000" w:rsidRPr="00000000" w14:paraId="00000084">
      <w:pPr>
        <w:numPr>
          <w:ilvl w:val="0"/>
          <w:numId w:val="2"/>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Prohibición de discriminación:</w:t>
      </w:r>
      <w:r w:rsidDel="00000000" w:rsidR="00000000" w:rsidRPr="00000000">
        <w:rPr>
          <w:rFonts w:ascii="Times New Roman" w:cs="Times New Roman" w:eastAsia="Times New Roman" w:hAnsi="Times New Roman"/>
          <w:sz w:val="24"/>
          <w:szCs w:val="24"/>
          <w:rtl w:val="0"/>
        </w:rPr>
        <w:t xml:space="preserve"> El uso de variables proxy como ubicación geográfica, nivel educativo, o historial de detenciones que correlacionan con raza/etnia constituye discriminación indirecta, violando el principio de igualdad establecido en la Constitución del Ecuador (Art. 11) y los principios de la LOPDP que exigen tratamiento de datos con estricto apego a derechos fundamentales</w:t>
      </w:r>
    </w:p>
    <w:p w:rsidR="00000000" w:rsidDel="00000000" w:rsidP="00000000" w:rsidRDefault="00000000" w:rsidRPr="00000000" w14:paraId="0000008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pStyle w:val="Heading3"/>
        <w:keepNext w:val="0"/>
        <w:keepLines w:val="0"/>
        <w:numPr>
          <w:ilvl w:val="0"/>
          <w:numId w:val="2"/>
        </w:numPr>
        <w:shd w:fill="ffffff" w:val="clear"/>
        <w:spacing w:after="240" w:before="360" w:line="300" w:lineRule="auto"/>
        <w:ind w:left="720" w:hanging="360"/>
        <w:rPr>
          <w:rFonts w:ascii="Times New Roman" w:cs="Times New Roman" w:eastAsia="Times New Roman" w:hAnsi="Times New Roman"/>
          <w:b w:val="1"/>
          <w:bCs w:val="1"/>
          <w:color w:val="1f2328"/>
          <w:sz w:val="24"/>
          <w:szCs w:val="24"/>
        </w:rPr>
      </w:pPr>
      <w:bookmarkStart w:colFirst="0" w:colLast="0" w:name="_z26kbcaoe0gp" w:id="39"/>
      <w:bookmarkEnd w:id="39"/>
      <w:r w:rsidDel="00000000" w:rsidR="00000000" w:rsidRPr="00000000">
        <w:rPr>
          <w:rFonts w:ascii="Times New Roman" w:cs="Times New Roman" w:eastAsia="Times New Roman" w:hAnsi="Times New Roman"/>
          <w:b w:val="1"/>
          <w:bCs w:val="1"/>
          <w:color w:val="1f2328"/>
          <w:sz w:val="24"/>
          <w:szCs w:val="24"/>
          <w:rtl w:val="0"/>
        </w:rPr>
        <w:t xml:space="preserve">Explain the security threat known as "Model Memorization" or "Data Leakage" in generative AI. If an AI chatbot (used internally by a hospital) accidentally memorizes and reveals unmasked patient health information (PHI) shared during a training prompt, what specific privacy right under the LOPDP would be violated?  </w:t>
      </w:r>
    </w:p>
    <w:p w:rsidR="00000000" w:rsidDel="00000000" w:rsidP="00000000" w:rsidRDefault="00000000" w:rsidRPr="00000000" w14:paraId="0000008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on68dqz8x5vs" w:id="40"/>
      <w:bookmarkEnd w:id="40"/>
      <w:r w:rsidDel="00000000" w:rsidR="00000000" w:rsidRPr="00000000">
        <w:rPr>
          <w:rFonts w:ascii="Times New Roman" w:cs="Times New Roman" w:eastAsia="Times New Roman" w:hAnsi="Times New Roman"/>
          <w:b w:val="1"/>
          <w:bCs w:val="1"/>
          <w:color w:val="000000"/>
          <w:sz w:val="24"/>
          <w:szCs w:val="24"/>
          <w:rtl w:val="0"/>
        </w:rPr>
        <w:t xml:space="preserve">Definición técnica del fenómeno</w:t>
      </w:r>
    </w:p>
    <w:p w:rsidR="00000000" w:rsidDel="00000000" w:rsidP="00000000" w:rsidRDefault="00000000" w:rsidRPr="00000000" w14:paraId="000000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memorización en modelos de lenguaje es el fenómeno por el cual un LLM almacena y puede reproducir fragmentos específicos de sus datos de entrenamiento, en lugar de simplemente aprender patrones lingüísticos generales (Carlini et al., 2021). Investigadores de Carnegie Mellon University definen operacionalmente que </w:t>
      </w:r>
      <w:r w:rsidDel="00000000" w:rsidR="00000000" w:rsidRPr="00000000">
        <w:rPr>
          <w:rFonts w:ascii="Times New Roman" w:cs="Times New Roman" w:eastAsia="Times New Roman" w:hAnsi="Times New Roman"/>
          <w:i w:val="1"/>
          <w:iCs w:val="1"/>
          <w:sz w:val="24"/>
          <w:szCs w:val="24"/>
          <w:rtl w:val="0"/>
        </w:rPr>
        <w:t xml:space="preserve">"una frase presente en los datos de entrenamiento está memorizada si podemos hacer que el modelo reproduzca esa frase usando un prompt (mucho) más corto que la frase misma"</w:t>
      </w:r>
      <w:r w:rsidDel="00000000" w:rsidR="00000000" w:rsidRPr="00000000">
        <w:rPr>
          <w:rFonts w:ascii="Times New Roman" w:cs="Times New Roman" w:eastAsia="Times New Roman" w:hAnsi="Times New Roman"/>
          <w:sz w:val="24"/>
          <w:szCs w:val="24"/>
          <w:rtl w:val="0"/>
        </w:rPr>
        <w:t xml:space="preserve"> (CMU ML Blog, 2024).</w:t>
      </w:r>
    </w:p>
    <w:p w:rsidR="00000000" w:rsidDel="00000000" w:rsidP="00000000" w:rsidRDefault="00000000" w:rsidRPr="00000000" w14:paraId="0000008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ndmehdqvz649" w:id="41"/>
      <w:bookmarkEnd w:id="41"/>
      <w:r w:rsidDel="00000000" w:rsidR="00000000" w:rsidRPr="00000000">
        <w:rPr>
          <w:rFonts w:ascii="Times New Roman" w:cs="Times New Roman" w:eastAsia="Times New Roman" w:hAnsi="Times New Roman"/>
          <w:b w:val="1"/>
          <w:bCs w:val="1"/>
          <w:color w:val="000000"/>
          <w:sz w:val="24"/>
          <w:szCs w:val="24"/>
          <w:rtl w:val="0"/>
        </w:rPr>
        <w:t xml:space="preserve">Mecanismo de ocurrencia</w:t>
      </w:r>
    </w:p>
    <w:p w:rsidR="00000000" w:rsidDel="00000000" w:rsidP="00000000" w:rsidRDefault="00000000" w:rsidRPr="00000000" w14:paraId="000000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memorización ocurre debido a varios factores técnicos:</w:t>
      </w:r>
    </w:p>
    <w:p w:rsidR="00000000" w:rsidDel="00000000" w:rsidP="00000000" w:rsidRDefault="00000000" w:rsidRPr="00000000" w14:paraId="0000008B">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Duplicación de datos</w:t>
      </w:r>
      <w:r w:rsidDel="00000000" w:rsidR="00000000" w:rsidRPr="00000000">
        <w:rPr>
          <w:rFonts w:ascii="Times New Roman" w:cs="Times New Roman" w:eastAsia="Times New Roman" w:hAnsi="Times New Roman"/>
          <w:sz w:val="24"/>
          <w:szCs w:val="24"/>
          <w:rtl w:val="0"/>
        </w:rPr>
        <w:t xml:space="preserve">: Cuando texto aparece múltiples veces en el dataset de entrenamiento, aumenta la probabilidad de memorización. Google DeepMind encontró que un texto específico aparecía más de 40,000 veces en el dataset C4 de Common Crawl (Carlini et al., 2022).</w:t>
      </w:r>
    </w:p>
    <w:p w:rsidR="00000000" w:rsidDel="00000000" w:rsidP="00000000" w:rsidRDefault="00000000" w:rsidRPr="00000000" w14:paraId="0000008C">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Tamaño del modelo</w:t>
      </w:r>
      <w:r w:rsidDel="00000000" w:rsidR="00000000" w:rsidRPr="00000000">
        <w:rPr>
          <w:rFonts w:ascii="Times New Roman" w:cs="Times New Roman" w:eastAsia="Times New Roman" w:hAnsi="Times New Roman"/>
          <w:sz w:val="24"/>
          <w:szCs w:val="24"/>
          <w:rtl w:val="0"/>
        </w:rPr>
        <w:t xml:space="preserve">: Investigaciones demuestran que modelos más grandes memorizan más datos que modelos más pequeños, incluso con la misma cantidad de datos de entrenamiento (Carlini et al., 2021).</w:t>
      </w:r>
    </w:p>
    <w:p w:rsidR="00000000" w:rsidDel="00000000" w:rsidP="00000000" w:rsidRDefault="00000000" w:rsidRPr="00000000" w14:paraId="0000008D">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w:t>
      </w:r>
      <w:r w:rsidDel="00000000" w:rsidR="00000000" w:rsidRPr="00000000">
        <w:rPr>
          <w:rFonts w:ascii="Times New Roman" w:cs="Times New Roman" w:eastAsia="Times New Roman" w:hAnsi="Times New Roman"/>
          <w:sz w:val="24"/>
          <w:szCs w:val="24"/>
          <w:rtl w:val="0"/>
        </w:rPr>
        <w:t xml:space="preserve">: Los módulos de atención en los bloques más profundos del transformer son principalmente responsables de la memorización, mientras que bloques anteriores contribuyen más a la generalización (Menta et al., 2025).</w:t>
      </w:r>
    </w:p>
    <w:p w:rsidR="00000000" w:rsidDel="00000000" w:rsidP="00000000" w:rsidRDefault="00000000" w:rsidRPr="00000000" w14:paraId="0000008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9fxeofnrkij" w:id="42"/>
      <w:bookmarkEnd w:id="42"/>
      <w:r w:rsidDel="00000000" w:rsidR="00000000" w:rsidRPr="00000000">
        <w:rPr>
          <w:rFonts w:ascii="Times New Roman" w:cs="Times New Roman" w:eastAsia="Times New Roman" w:hAnsi="Times New Roman"/>
          <w:b w:val="1"/>
          <w:bCs w:val="1"/>
          <w:color w:val="000000"/>
          <w:sz w:val="24"/>
          <w:szCs w:val="24"/>
          <w:rtl w:val="0"/>
        </w:rPr>
        <w:t xml:space="preserve">Caso demostrado: "Divergence Attack" contra ChatGPT</w:t>
      </w:r>
    </w:p>
    <w:p w:rsidR="00000000" w:rsidDel="00000000" w:rsidP="00000000" w:rsidRDefault="00000000" w:rsidRPr="00000000" w14:paraId="000000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2023, investigadores de Google DeepMind demostraron el "divergence attack": al pedir a ChatGPT que repitiera una palabra indefinidamente, el modelo eventualmente "diverge" de su comportamiento normal y comienza a emitir texto memorizado de entrenamiento. Este ataque extrajo gigabytes de datos, con aproximadamente 5% del output siendo copia exacta de 50+ tokens consecutivos, incluyendo direcciones de email, números de teléfono, fragmentos de código de hasta 1,450 líneas, y contenido NSFW (Nasr et al., 2023).</w:t>
      </w:r>
    </w:p>
    <w:p w:rsidR="00000000" w:rsidDel="00000000" w:rsidP="00000000" w:rsidRDefault="00000000" w:rsidRPr="00000000" w14:paraId="0000009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e2mfj6grhd1e" w:id="43"/>
      <w:bookmarkEnd w:id="43"/>
      <w:r w:rsidDel="00000000" w:rsidR="00000000" w:rsidRPr="00000000">
        <w:rPr>
          <w:rFonts w:ascii="Times New Roman" w:cs="Times New Roman" w:eastAsia="Times New Roman" w:hAnsi="Times New Roman"/>
          <w:b w:val="1"/>
          <w:bCs w:val="1"/>
          <w:color w:val="000000"/>
          <w:sz w:val="24"/>
          <w:szCs w:val="24"/>
          <w:rtl w:val="0"/>
        </w:rPr>
        <w:t xml:space="preserve">Escenario hospitalario y PHI</w:t>
      </w:r>
    </w:p>
    <w:p w:rsidR="00000000" w:rsidDel="00000000" w:rsidP="00000000" w:rsidRDefault="00000000" w:rsidRPr="00000000" w14:paraId="00000091">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Si un hospital implementa un chatbot de IA interno para consultas médicas, y durante su configuración o fine-tuning se expone a información de salud protegida (PHI) de pacientes sin anonimización adecuada, existe riesgo demostrado de que el modelo memorice y posteriormente revele esta información.</w:t>
      </w:r>
      <w:hyperlink r:id="rId22">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0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caso documentado en Ontario, Canadá (2024) ilustra el riesgo: un bot de Otter.ai que un médico había instalado en su dispositivo personal se unió automáticamente a una reunión virtual de hepatología, grabó la discusión sobre 7 pacientes, y envió resúmenes incluyendo nombres, diagnósticos, y planes de tratamiento a 65 usuarios —incluyendo 12 que ya no trabajaban en el hospital</w:t>
      </w:r>
      <w:hyperlink r:id="rId23">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 (Canadian Healthcare Technology, 2024).</w:t>
      </w:r>
    </w:p>
    <w:p w:rsidR="00000000" w:rsidDel="00000000" w:rsidP="00000000" w:rsidRDefault="00000000" w:rsidRPr="00000000" w14:paraId="0000009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u5sgduvl6nav" w:id="44"/>
      <w:bookmarkEnd w:id="44"/>
      <w:r w:rsidDel="00000000" w:rsidR="00000000" w:rsidRPr="00000000">
        <w:rPr>
          <w:rFonts w:ascii="Times New Roman" w:cs="Times New Roman" w:eastAsia="Times New Roman" w:hAnsi="Times New Roman"/>
          <w:b w:val="1"/>
          <w:bCs w:val="1"/>
          <w:color w:val="000000"/>
          <w:sz w:val="24"/>
          <w:szCs w:val="24"/>
          <w:rtl w:val="0"/>
        </w:rPr>
        <w:t xml:space="preserve">Derecho específico violado bajo LOPDP</w:t>
      </w:r>
    </w:p>
    <w:p w:rsidR="00000000" w:rsidDel="00000000" w:rsidP="00000000" w:rsidRDefault="00000000" w:rsidRPr="00000000" w14:paraId="000000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revelación inadvertida de PHI memorizada por un chatbot hospitalario violaría el principio de confidencialidad establecido en el artículo 10, literal g) de la LOPDP, que establece que "el tratamiento de datos personales debe concebirse sobre la base del debido sigilo y secreto, es decir, no debe tratarse o comunicarse para un fin distinto para el cual fueron recogidos" salvo causales legales.</w:t>
      </w:r>
    </w:p>
    <w:p w:rsidR="00000000" w:rsidDel="00000000" w:rsidP="00000000" w:rsidRDefault="00000000" w:rsidRPr="00000000" w14:paraId="000000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se violarían:</w:t>
      </w:r>
    </w:p>
    <w:p w:rsidR="00000000" w:rsidDel="00000000" w:rsidP="00000000" w:rsidRDefault="00000000" w:rsidRPr="00000000" w14:paraId="00000096">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Artículo 24 - Datos sensibles</w:t>
      </w:r>
      <w:r w:rsidDel="00000000" w:rsidR="00000000" w:rsidRPr="00000000">
        <w:rPr>
          <w:rFonts w:ascii="Times New Roman" w:cs="Times New Roman" w:eastAsia="Times New Roman" w:hAnsi="Times New Roman"/>
          <w:sz w:val="24"/>
          <w:szCs w:val="24"/>
          <w:rtl w:val="0"/>
        </w:rPr>
        <w:t xml:space="preserve">: Los datos de salud requieren protecciones especiales y solo pueden tratarse bajo circunstancias específicas listadas en la ley. La memorización y posterior revelación no autorizada no encaja en ninguna excepción.</w:t>
      </w:r>
    </w:p>
    <w:p w:rsidR="00000000" w:rsidDel="00000000" w:rsidP="00000000" w:rsidRDefault="00000000" w:rsidRPr="00000000" w14:paraId="00000097">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Artículo 37 - Seguridad de datos personales</w:t>
      </w:r>
      <w:r w:rsidDel="00000000" w:rsidR="00000000" w:rsidRPr="00000000">
        <w:rPr>
          <w:rFonts w:ascii="Times New Roman" w:cs="Times New Roman" w:eastAsia="Times New Roman" w:hAnsi="Times New Roman"/>
          <w:sz w:val="24"/>
          <w:szCs w:val="24"/>
          <w:rtl w:val="0"/>
        </w:rPr>
        <w:t xml:space="preserve">:El responsable o encargado del tratamiento debe "implementar un proceso de verificación, evaluación y valoración continua y permanente de la eficiencia, eficacia y efectividad de las medidas de carácter técnico, organizativo y de cualquier otra índole, implementadas con el objeto de garantizar y mejorar la seguridad del tratamiento de datos personales". Un modelo que puede revelar PHI demuestra falta de medidas de seguridad adecuadas.</w:t>
      </w:r>
    </w:p>
    <w:p w:rsidR="00000000" w:rsidDel="00000000" w:rsidP="00000000" w:rsidRDefault="00000000" w:rsidRPr="00000000" w14:paraId="00000098">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Artículo 43 - Notificación de vulneración de seguridad</w:t>
      </w:r>
      <w:r w:rsidDel="00000000" w:rsidR="00000000" w:rsidRPr="00000000">
        <w:rPr>
          <w:rFonts w:ascii="Times New Roman" w:cs="Times New Roman" w:eastAsia="Times New Roman" w:hAnsi="Times New Roman"/>
          <w:sz w:val="24"/>
          <w:szCs w:val="24"/>
          <w:rtl w:val="0"/>
        </w:rPr>
        <w:t xml:space="preserve">:  "El responsable del tratamiento deberá notificar la vulneración de la seguridad de datos personales a la Autoridad de Protección de Datos Personales y la Agencia de Regulación y Control de las Telecomunicaciones, tan pronto sea posible, y a más tardar en el término de cinco (5) días después de que haya tenido constancia de ella". Adicionalmente, el artículo 46 requiere notificación al titular "sin dilación" cuando la vulneración conlleve riesgo a sus derechos fundamentales.</w:t>
      </w:r>
    </w:p>
    <w:p w:rsidR="00000000" w:rsidDel="00000000" w:rsidP="00000000" w:rsidRDefault="00000000" w:rsidRPr="00000000" w14:paraId="000000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investigación técnica confirma que incluso con técnicas de anonimización, algoritmos pueden re-identificar el 85.1% de adultos en estudios de cohorte (Sweeney et al., 2018), lo que significa que la simple eliminación de identificadores directos no elimina el riesgo de memorización de información re-identificable.</w:t>
      </w:r>
    </w:p>
    <w:p w:rsidR="00000000" w:rsidDel="00000000" w:rsidP="00000000" w:rsidRDefault="00000000" w:rsidRPr="00000000" w14:paraId="0000009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Referencias: </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Amnesty International. (2025a). Automated racism: How police data and algorithms code discrimination into policing. Amnesty International UK.</w:t>
      </w:r>
      <w:hyperlink r:id="rId24">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color w:val="1155cc"/>
          <w:sz w:val="24"/>
          <w:szCs w:val="24"/>
          <w:u w:val="single"/>
          <w:rtl w:val="0"/>
        </w:rPr>
        <w:t xml:space="preserve">https://www.amnesty.org.uk/files/2025-02/Automated%20Racism%20Report%20-%20Amnesty%20International%20UK%20-%202025.pdf</w:t>
      </w:r>
    </w:p>
    <w:p w:rsidR="00000000" w:rsidDel="00000000" w:rsidP="00000000" w:rsidRDefault="00000000" w:rsidRPr="00000000" w14:paraId="0000009D">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Amnesty International. (2025b, noviembre). Brazil: Rio de Janeiro police killed 121 people in horrific two-day operation.</w:t>
      </w:r>
      <w:hyperlink r:id="rId25">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09E">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Angwin, J., Larson, J., Mattu, S., &amp; Kirchner, L. (2016, mayo 23). Machine bias: There's software used across the country to predict future criminals. And it's biased against blacks. ProPublica.</w:t>
      </w:r>
      <w:hyperlink r:id="rId26">
        <w:r w:rsidDel="00000000" w:rsidR="00000000" w:rsidRPr="00000000">
          <w:rPr>
            <w:rFonts w:ascii="Times New Roman" w:cs="Times New Roman" w:eastAsia="Times New Roman" w:hAnsi="Times New Roman"/>
            <w:sz w:val="24"/>
            <w:szCs w:val="24"/>
            <w:rtl w:val="0"/>
          </w:rPr>
          <w:t xml:space="preserve"> </w:t>
        </w:r>
      </w:hyperlink>
      <w:hyperlink r:id="rId27">
        <w:r w:rsidDel="00000000" w:rsidR="00000000" w:rsidRPr="00000000">
          <w:rPr>
            <w:rFonts w:ascii="Times New Roman" w:cs="Times New Roman" w:eastAsia="Times New Roman" w:hAnsi="Times New Roman"/>
            <w:color w:val="1155cc"/>
            <w:sz w:val="24"/>
            <w:szCs w:val="24"/>
            <w:u w:val="single"/>
            <w:rtl w:val="0"/>
          </w:rPr>
          <w:t xml:space="preserve">https://www.propublica.org/article/machine-bias-risk-assessments-in-criminal-sentencing</w:t>
        </w:r>
      </w:hyperlink>
      <w:r w:rsidDel="00000000" w:rsidR="00000000" w:rsidRPr="00000000">
        <w:rPr>
          <w:rtl w:val="0"/>
        </w:rPr>
      </w:r>
    </w:p>
    <w:p w:rsidR="00000000" w:rsidDel="00000000" w:rsidP="00000000" w:rsidRDefault="00000000" w:rsidRPr="00000000" w14:paraId="0000009F">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Anthropic. (2025a, agosto 28). Updates to consumer terms and privacy policy. Anthropic News.</w:t>
      </w:r>
      <w:hyperlink r:id="rId28">
        <w:r w:rsidDel="00000000" w:rsidR="00000000" w:rsidRPr="00000000">
          <w:rPr>
            <w:rFonts w:ascii="Times New Roman" w:cs="Times New Roman" w:eastAsia="Times New Roman" w:hAnsi="Times New Roman"/>
            <w:sz w:val="24"/>
            <w:szCs w:val="24"/>
            <w:rtl w:val="0"/>
          </w:rPr>
          <w:t xml:space="preserve"> </w:t>
        </w:r>
      </w:hyperlink>
      <w:hyperlink r:id="rId29">
        <w:r w:rsidDel="00000000" w:rsidR="00000000" w:rsidRPr="00000000">
          <w:rPr>
            <w:rFonts w:ascii="Times New Roman" w:cs="Times New Roman" w:eastAsia="Times New Roman" w:hAnsi="Times New Roman"/>
            <w:color w:val="1155cc"/>
            <w:sz w:val="24"/>
            <w:szCs w:val="24"/>
            <w:u w:val="single"/>
            <w:rtl w:val="0"/>
          </w:rPr>
          <w:t xml:space="preserve">https://www.anthropic.com/news/updates-to-our-consumer-terms</w:t>
        </w:r>
      </w:hyperlink>
      <w:r w:rsidDel="00000000" w:rsidR="00000000" w:rsidRPr="00000000">
        <w:rPr>
          <w:rtl w:val="0"/>
        </w:rPr>
      </w:r>
    </w:p>
    <w:p w:rsidR="00000000" w:rsidDel="00000000" w:rsidP="00000000" w:rsidRDefault="00000000" w:rsidRPr="00000000" w14:paraId="000000A0">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Anthropic. (2025b). Is my data used for model training?</w:t>
      </w:r>
      <w:hyperlink r:id="rId30">
        <w:r w:rsidDel="00000000" w:rsidR="00000000" w:rsidRPr="00000000">
          <w:rPr>
            <w:rFonts w:ascii="Times New Roman" w:cs="Times New Roman" w:eastAsia="Times New Roman" w:hAnsi="Times New Roman"/>
            <w:sz w:val="24"/>
            <w:szCs w:val="24"/>
            <w:rtl w:val="0"/>
          </w:rPr>
          <w:t xml:space="preserve"> </w:t>
        </w:r>
      </w:hyperlink>
      <w:hyperlink r:id="rId31">
        <w:r w:rsidDel="00000000" w:rsidR="00000000" w:rsidRPr="00000000">
          <w:rPr>
            <w:rFonts w:ascii="Times New Roman" w:cs="Times New Roman" w:eastAsia="Times New Roman" w:hAnsi="Times New Roman"/>
            <w:color w:val="1155cc"/>
            <w:sz w:val="24"/>
            <w:szCs w:val="24"/>
            <w:u w:val="single"/>
            <w:rtl w:val="0"/>
          </w:rPr>
          <w:t xml:space="preserve">https://privacy.claude.com/en/articles/10023580-is-my-data-used-for-model-training</w:t>
        </w:r>
      </w:hyperlink>
      <w:r w:rsidDel="00000000" w:rsidR="00000000" w:rsidRPr="00000000">
        <w:rPr>
          <w:rtl w:val="0"/>
        </w:rPr>
      </w:r>
    </w:p>
    <w:p w:rsidR="00000000" w:rsidDel="00000000" w:rsidP="00000000" w:rsidRDefault="00000000" w:rsidRPr="00000000" w14:paraId="000000A1">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Anthropic. (2025c). Is my data used for model training?</w:t>
      </w:r>
      <w:hyperlink r:id="rId32">
        <w:r w:rsidDel="00000000" w:rsidR="00000000" w:rsidRPr="00000000">
          <w:rPr>
            <w:rFonts w:ascii="Times New Roman" w:cs="Times New Roman" w:eastAsia="Times New Roman" w:hAnsi="Times New Roman"/>
            <w:sz w:val="24"/>
            <w:szCs w:val="24"/>
            <w:rtl w:val="0"/>
          </w:rPr>
          <w:t xml:space="preserve"> </w:t>
        </w:r>
      </w:hyperlink>
      <w:hyperlink r:id="rId33">
        <w:r w:rsidDel="00000000" w:rsidR="00000000" w:rsidRPr="00000000">
          <w:rPr>
            <w:rFonts w:ascii="Times New Roman" w:cs="Times New Roman" w:eastAsia="Times New Roman" w:hAnsi="Times New Roman"/>
            <w:color w:val="1155cc"/>
            <w:sz w:val="24"/>
            <w:szCs w:val="24"/>
            <w:u w:val="single"/>
            <w:rtl w:val="0"/>
          </w:rPr>
          <w:t xml:space="preserve">https://privacy.claude.com/en/articles/7996868-is-my-data-used-for-model-training</w:t>
        </w:r>
      </w:hyperlink>
      <w:r w:rsidDel="00000000" w:rsidR="00000000" w:rsidRPr="00000000">
        <w:rPr>
          <w:rtl w:val="0"/>
        </w:rPr>
      </w:r>
    </w:p>
    <w:p w:rsidR="00000000" w:rsidDel="00000000" w:rsidP="00000000" w:rsidRDefault="00000000" w:rsidRPr="00000000" w14:paraId="000000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Asamblea Nacional del Ecuador. (2021). Ley Orgánica de Protección de Datos Personales. Quinto Suplemento del Registro Oficial No. 459, 26 de mayo de 2021.</w:t>
      </w:r>
    </w:p>
    <w:p w:rsidR="00000000" w:rsidDel="00000000" w:rsidP="00000000" w:rsidRDefault="00000000" w:rsidRPr="00000000" w14:paraId="000000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Carlini, N., Tramer, F., Wallace, E., Jagielski, M., Herbert-Voss, A., Lee, K., Roberts, A., Brown, T., Song, D., Erlingsson, U., Oprea, A., &amp; Raffel, C. (2021). Extracting training data from large language models. Proceedings of the 30th USENIX Security Symposium, 2633-2650.</w:t>
      </w:r>
    </w:p>
    <w:p w:rsidR="00000000" w:rsidDel="00000000" w:rsidP="00000000" w:rsidRDefault="00000000" w:rsidRPr="00000000" w14:paraId="000000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La Torre v. LinkedIn Corp., No. 5:25-cv-00709 (N.D. Cal. Jan. 21, 2025).</w:t>
      </w:r>
    </w:p>
    <w:p w:rsidR="00000000" w:rsidDel="00000000" w:rsidP="00000000" w:rsidRDefault="00000000" w:rsidRPr="00000000" w14:paraId="000000A5">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Federal Trade Commission. (2023, mayo). FTC says Ring employees illegally surveilled customers, failed to stop hackers from taking control of users' cameras.</w:t>
      </w:r>
      <w:hyperlink r:id="rId34">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color w:val="1155cc"/>
          <w:sz w:val="24"/>
          <w:szCs w:val="24"/>
          <w:u w:val="single"/>
          <w:rtl w:val="0"/>
        </w:rPr>
        <w:t xml:space="preserve">https://www.ftc.gov/news-events/news/press-releases/2023/05/ftc-says-ring-employees-illegally-surveilled-customers-failed-stop-hackers-taking-control-users</w:t>
      </w:r>
    </w:p>
    <w:p w:rsidR="00000000" w:rsidDel="00000000" w:rsidP="00000000" w:rsidRDefault="00000000" w:rsidRPr="00000000" w14:paraId="000000A6">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Garante per la Protezione dei Dati Personali. (2024, diciembre 20). OpenAI: Italian SA fines company €15 million.</w:t>
      </w:r>
      <w:hyperlink r:id="rId35">
        <w:r w:rsidDel="00000000" w:rsidR="00000000" w:rsidRPr="00000000">
          <w:rPr>
            <w:rFonts w:ascii="Times New Roman" w:cs="Times New Roman" w:eastAsia="Times New Roman" w:hAnsi="Times New Roman"/>
            <w:sz w:val="24"/>
            <w:szCs w:val="24"/>
            <w:rtl w:val="0"/>
          </w:rPr>
          <w:t xml:space="preserve"> </w:t>
        </w:r>
      </w:hyperlink>
      <w:hyperlink r:id="rId36">
        <w:r w:rsidDel="00000000" w:rsidR="00000000" w:rsidRPr="00000000">
          <w:rPr>
            <w:rFonts w:ascii="Times New Roman" w:cs="Times New Roman" w:eastAsia="Times New Roman" w:hAnsi="Times New Roman"/>
            <w:color w:val="1155cc"/>
            <w:sz w:val="24"/>
            <w:szCs w:val="24"/>
            <w:u w:val="single"/>
            <w:rtl w:val="0"/>
          </w:rPr>
          <w:t xml:space="preserve">https://www.garanteprivacy.it/</w:t>
        </w:r>
      </w:hyperlink>
      <w:r w:rsidDel="00000000" w:rsidR="00000000" w:rsidRPr="00000000">
        <w:rPr>
          <w:rtl w:val="0"/>
        </w:rPr>
      </w:r>
    </w:p>
    <w:p w:rsidR="00000000" w:rsidDel="00000000" w:rsidP="00000000" w:rsidRDefault="00000000" w:rsidRPr="00000000" w14:paraId="000000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Hartmann, V., Suri, A., Bindschaedler, V., Evans, D., Tople, S., &amp; West, R. (2023). SoK: Memorization in general-purpose large language models. arXiv preprint arXiv:2310.18362.</w:t>
      </w:r>
    </w:p>
    <w:p w:rsidR="00000000" w:rsidDel="00000000" w:rsidP="00000000" w:rsidRDefault="00000000" w:rsidRPr="00000000" w14:paraId="000000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Temblores ONG. (2021). Protests and Human Rights Violations in Colombia: Second Alert. Recuperado de </w:t>
      </w:r>
      <w:hyperlink r:id="rId37">
        <w:r w:rsidDel="00000000" w:rsidR="00000000" w:rsidRPr="00000000">
          <w:rPr>
            <w:rFonts w:ascii="Times New Roman" w:cs="Times New Roman" w:eastAsia="Times New Roman" w:hAnsi="Times New Roman"/>
            <w:color w:val="1155cc"/>
            <w:sz w:val="24"/>
            <w:szCs w:val="24"/>
            <w:u w:val="single"/>
            <w:rtl w:val="0"/>
          </w:rPr>
          <w:t xml:space="preserve">https://www.wola.org/2021/07/protests-and-human-rights-violations-in-colombia-second-alert/</w:t>
        </w:r>
      </w:hyperlink>
      <w:r w:rsidDel="00000000" w:rsidR="00000000" w:rsidRPr="00000000">
        <w:rPr>
          <w:rtl w:val="0"/>
        </w:rPr>
      </w:r>
    </w:p>
    <w:p w:rsidR="00000000" w:rsidDel="00000000" w:rsidP="00000000" w:rsidRDefault="00000000" w:rsidRPr="00000000" w14:paraId="000000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Lum, K., &amp; Isaac, W. (2016). To predict and serve? Significance, 13(5), 14-19.</w:t>
      </w:r>
    </w:p>
    <w:p w:rsidR="00000000" w:rsidDel="00000000" w:rsidP="00000000" w:rsidRDefault="00000000" w:rsidRPr="00000000" w14:paraId="000000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Menta, T. R., et al. (2025). Analyzing memorization in large language models through the lens of model attribution. arXiv preprint arXiv:2501.05078.</w:t>
      </w:r>
    </w:p>
    <w:p w:rsidR="00000000" w:rsidDel="00000000" w:rsidP="00000000" w:rsidRDefault="00000000" w:rsidRPr="00000000" w14:paraId="000000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Nasr, M., Carlini, N., Hayase, J., Jagielski, M., Cooper, A. F., Ippolito, D., Choquette-Choo, C. A., Wallace, E., Tramèr, F., &amp; Lee, K. (2023). Scalable extraction of training data from (production) language models. arXiv preprint arXiv:2311.17035.</w:t>
      </w:r>
    </w:p>
    <w:p w:rsidR="00000000" w:rsidDel="00000000" w:rsidP="00000000" w:rsidRDefault="00000000" w:rsidRPr="00000000" w14:paraId="000000AC">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NOYB. (2025, mayo 14). NOYB sends Meta 'cease and desist' letter over AI training. European class action as potential next step.</w:t>
      </w:r>
      <w:hyperlink r:id="rId38">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color w:val="1155cc"/>
          <w:sz w:val="24"/>
          <w:szCs w:val="24"/>
          <w:u w:val="single"/>
          <w:rtl w:val="0"/>
        </w:rPr>
        <w:t xml:space="preserve">https://noyb.eu/en/noyb-sends-meta-cease-and-desist-letter-over-ai-training-european-class-action-potential-next-step</w:t>
      </w:r>
    </w:p>
    <w:p w:rsidR="00000000" w:rsidDel="00000000" w:rsidP="00000000" w:rsidRDefault="00000000" w:rsidRPr="00000000" w14:paraId="000000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Obermeyer, Z., Powers, B., Vogeli, C., &amp; Mullainathan, S. (2019). Dissecting racial bias in an algorithm used to manage the health of populations. Science, 366(6464), 447-453.</w:t>
      </w:r>
    </w:p>
    <w:p w:rsidR="00000000" w:rsidDel="00000000" w:rsidP="00000000" w:rsidRDefault="00000000" w:rsidRPr="00000000" w14:paraId="000000AE">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OpenAI. (2025a). Business data privacy, security, and compliance.</w:t>
      </w:r>
      <w:hyperlink r:id="rId39">
        <w:r w:rsidDel="00000000" w:rsidR="00000000" w:rsidRPr="00000000">
          <w:rPr>
            <w:rFonts w:ascii="Times New Roman" w:cs="Times New Roman" w:eastAsia="Times New Roman" w:hAnsi="Times New Roman"/>
            <w:sz w:val="24"/>
            <w:szCs w:val="24"/>
            <w:rtl w:val="0"/>
          </w:rPr>
          <w:t xml:space="preserve"> </w:t>
        </w:r>
      </w:hyperlink>
      <w:hyperlink r:id="rId40">
        <w:r w:rsidDel="00000000" w:rsidR="00000000" w:rsidRPr="00000000">
          <w:rPr>
            <w:rFonts w:ascii="Times New Roman" w:cs="Times New Roman" w:eastAsia="Times New Roman" w:hAnsi="Times New Roman"/>
            <w:color w:val="1155cc"/>
            <w:sz w:val="24"/>
            <w:szCs w:val="24"/>
            <w:u w:val="single"/>
            <w:rtl w:val="0"/>
          </w:rPr>
          <w:t xml:space="preserve">https://openai.com/business-data/</w:t>
        </w:r>
      </w:hyperlink>
      <w:r w:rsidDel="00000000" w:rsidR="00000000" w:rsidRPr="00000000">
        <w:rPr>
          <w:rtl w:val="0"/>
        </w:rPr>
      </w:r>
    </w:p>
    <w:p w:rsidR="00000000" w:rsidDel="00000000" w:rsidP="00000000" w:rsidRDefault="00000000" w:rsidRPr="00000000" w14:paraId="000000AF">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OpenAI. (2025b). Enterprise privacy.</w:t>
      </w:r>
      <w:hyperlink r:id="rId41">
        <w:r w:rsidDel="00000000" w:rsidR="00000000" w:rsidRPr="00000000">
          <w:rPr>
            <w:rFonts w:ascii="Times New Roman" w:cs="Times New Roman" w:eastAsia="Times New Roman" w:hAnsi="Times New Roman"/>
            <w:sz w:val="24"/>
            <w:szCs w:val="24"/>
            <w:rtl w:val="0"/>
          </w:rPr>
          <w:t xml:space="preserve"> </w:t>
        </w:r>
      </w:hyperlink>
      <w:hyperlink r:id="rId42">
        <w:r w:rsidDel="00000000" w:rsidR="00000000" w:rsidRPr="00000000">
          <w:rPr>
            <w:rFonts w:ascii="Times New Roman" w:cs="Times New Roman" w:eastAsia="Times New Roman" w:hAnsi="Times New Roman"/>
            <w:color w:val="1155cc"/>
            <w:sz w:val="24"/>
            <w:szCs w:val="24"/>
            <w:u w:val="single"/>
            <w:rtl w:val="0"/>
          </w:rPr>
          <w:t xml:space="preserve">https://openai.com/enterprise-privacy/</w:t>
        </w:r>
      </w:hyperlink>
      <w:r w:rsidDel="00000000" w:rsidR="00000000" w:rsidRPr="00000000">
        <w:rPr>
          <w:rtl w:val="0"/>
        </w:rPr>
      </w:r>
    </w:p>
    <w:p w:rsidR="00000000" w:rsidDel="00000000" w:rsidP="00000000" w:rsidRDefault="00000000" w:rsidRPr="00000000" w14:paraId="000000B0">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OpenAI. (2025c). Privacy policy.</w:t>
      </w:r>
      <w:hyperlink r:id="rId43">
        <w:r w:rsidDel="00000000" w:rsidR="00000000" w:rsidRPr="00000000">
          <w:rPr>
            <w:rFonts w:ascii="Times New Roman" w:cs="Times New Roman" w:eastAsia="Times New Roman" w:hAnsi="Times New Roman"/>
            <w:sz w:val="24"/>
            <w:szCs w:val="24"/>
            <w:rtl w:val="0"/>
          </w:rPr>
          <w:t xml:space="preserve"> </w:t>
        </w:r>
      </w:hyperlink>
      <w:hyperlink r:id="rId44">
        <w:r w:rsidDel="00000000" w:rsidR="00000000" w:rsidRPr="00000000">
          <w:rPr>
            <w:rFonts w:ascii="Times New Roman" w:cs="Times New Roman" w:eastAsia="Times New Roman" w:hAnsi="Times New Roman"/>
            <w:color w:val="1155cc"/>
            <w:sz w:val="24"/>
            <w:szCs w:val="24"/>
            <w:u w:val="single"/>
            <w:rtl w:val="0"/>
          </w:rPr>
          <w:t xml:space="preserve">https://openai.com/policies/privacy-policy/</w:t>
        </w:r>
      </w:hyperlink>
      <w:r w:rsidDel="00000000" w:rsidR="00000000" w:rsidRPr="00000000">
        <w:rPr>
          <w:rtl w:val="0"/>
        </w:rPr>
      </w:r>
    </w:p>
    <w:p w:rsidR="00000000" w:rsidDel="00000000" w:rsidP="00000000" w:rsidRDefault="00000000" w:rsidRPr="00000000" w14:paraId="000000B1">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OpenAI Help Center. (2025). How your data is used to improve model performance.</w:t>
      </w:r>
      <w:hyperlink r:id="rId45">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color w:val="1155cc"/>
          <w:sz w:val="24"/>
          <w:szCs w:val="24"/>
          <w:u w:val="single"/>
          <w:rtl w:val="0"/>
        </w:rPr>
        <w:t xml:space="preserve">https://openai.com/policies/how-your-data-is-used-to-improve-model-performance/</w:t>
      </w:r>
    </w:p>
    <w:p w:rsidR="00000000" w:rsidDel="00000000" w:rsidP="00000000" w:rsidRDefault="00000000" w:rsidRPr="00000000" w14:paraId="000000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Richardson, R., Schultz, J., &amp; Crawford, K. (2019). Dirty data, bad predictions: How civil rights violations impact police data, predictive policing systems, and justice. NYU Law Review, 94, 192-233.</w:t>
      </w:r>
    </w:p>
    <w:p w:rsidR="00000000" w:rsidDel="00000000" w:rsidP="00000000" w:rsidRDefault="00000000" w:rsidRPr="00000000" w14:paraId="000000B3">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United Nations Human Rights Council. (2024). Racism and AI: Bias from the past leads to bias in the future. Office of the High Commissioner for Human Rights.</w:t>
      </w:r>
      <w:hyperlink r:id="rId46">
        <w:r w:rsidDel="00000000" w:rsidR="00000000" w:rsidRPr="00000000">
          <w:rPr>
            <w:rFonts w:ascii="Times New Roman" w:cs="Times New Roman" w:eastAsia="Times New Roman" w:hAnsi="Times New Roman"/>
            <w:sz w:val="24"/>
            <w:szCs w:val="24"/>
            <w:rtl w:val="0"/>
          </w:rPr>
          <w:t xml:space="preserve"> </w:t>
        </w:r>
      </w:hyperlink>
      <w:hyperlink r:id="rId47">
        <w:r w:rsidDel="00000000" w:rsidR="00000000" w:rsidRPr="00000000">
          <w:rPr>
            <w:rFonts w:ascii="Times New Roman" w:cs="Times New Roman" w:eastAsia="Times New Roman" w:hAnsi="Times New Roman"/>
            <w:color w:val="1155cc"/>
            <w:sz w:val="24"/>
            <w:szCs w:val="24"/>
            <w:u w:val="single"/>
            <w:rtl w:val="0"/>
          </w:rPr>
          <w:t xml:space="preserve">https://www.ohchr.org/en/stories/2024/07/racism-and-ai-bias-past-leads-bias-future</w:t>
        </w:r>
      </w:hyperlink>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openai.com/business-data/" TargetMode="External"/><Relationship Id="rId20" Type="http://schemas.openxmlformats.org/officeDocument/2006/relationships/hyperlink" Target="https://thehackernews.com/2025/05/meta-to-train-ai-on-eu-user-data-from.html" TargetMode="External"/><Relationship Id="rId42" Type="http://schemas.openxmlformats.org/officeDocument/2006/relationships/hyperlink" Target="https://openai.com/enterprise-privacy/" TargetMode="External"/><Relationship Id="rId41" Type="http://schemas.openxmlformats.org/officeDocument/2006/relationships/hyperlink" Target="https://openai.com/enterprise-privacy/" TargetMode="External"/><Relationship Id="rId22" Type="http://schemas.openxmlformats.org/officeDocument/2006/relationships/hyperlink" Target="https://www.tonic.ai/blog/ai-data-breaches-in-healthcare" TargetMode="External"/><Relationship Id="rId44" Type="http://schemas.openxmlformats.org/officeDocument/2006/relationships/hyperlink" Target="https://openai.com/policies/privacy-policy/" TargetMode="External"/><Relationship Id="rId21" Type="http://schemas.openxmlformats.org/officeDocument/2006/relationships/hyperlink" Target="https://noyb.eu/en/noyb-sends-meta-cease-and-desist-letter-over-ai-training-european-class-action-potential-next-step" TargetMode="External"/><Relationship Id="rId43" Type="http://schemas.openxmlformats.org/officeDocument/2006/relationships/hyperlink" Target="https://openai.com/policies/privacy-policy/" TargetMode="External"/><Relationship Id="rId24" Type="http://schemas.openxmlformats.org/officeDocument/2006/relationships/hyperlink" Target="https://www.amnesty.org.uk/files/2025-02/Automated%20Racism%20Report.pdf" TargetMode="External"/><Relationship Id="rId46" Type="http://schemas.openxmlformats.org/officeDocument/2006/relationships/hyperlink" Target="https://www.ohchr.org/en/stories/2024/07/racism-and-ai-bias-past-leads-bias-future" TargetMode="External"/><Relationship Id="rId23" Type="http://schemas.openxmlformats.org/officeDocument/2006/relationships/hyperlink" Target="https://www.theglobeandmail.com/canada/article-ai-bot-doctors-meeting-patient-info-hospital-privacy-watchdog/" TargetMode="External"/><Relationship Id="rId45" Type="http://schemas.openxmlformats.org/officeDocument/2006/relationships/hyperlink" Target="https://help.openai.com/en/articles/how-your-data-is-used-to-improve-model-performan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elp.openai.com/en/articles/8983130-what-if-i-want-to-keep-my-history-on-but-disable-model-training" TargetMode="External"/><Relationship Id="rId26" Type="http://schemas.openxmlformats.org/officeDocument/2006/relationships/hyperlink" Target="https://www.propublica.org/article/machine-bias-risk-assessments-in-criminal-sentencing" TargetMode="External"/><Relationship Id="rId25" Type="http://schemas.openxmlformats.org/officeDocument/2006/relationships/hyperlink" Target="https://www.amnesty.org/en/latest/news/2025/11/brazil-rio-de-janeiro-police-killed-121-people/" TargetMode="External"/><Relationship Id="rId47" Type="http://schemas.openxmlformats.org/officeDocument/2006/relationships/hyperlink" Target="https://www.ohchr.org/en/stories/2024/07/racism-and-ai-bias-past-leads-bias-future" TargetMode="External"/><Relationship Id="rId28" Type="http://schemas.openxmlformats.org/officeDocument/2006/relationships/hyperlink" Target="https://www.anthropic.com/news/updates-to-our-consumer-terms" TargetMode="External"/><Relationship Id="rId27" Type="http://schemas.openxmlformats.org/officeDocument/2006/relationships/hyperlink" Target="https://www.propublica.org/article/machine-bias-risk-assessments-in-criminal-sentencing" TargetMode="External"/><Relationship Id="rId5" Type="http://schemas.openxmlformats.org/officeDocument/2006/relationships/styles" Target="styles.xml"/><Relationship Id="rId6" Type="http://schemas.openxmlformats.org/officeDocument/2006/relationships/hyperlink" Target="https://help.openai.com/en/articles/5722486-how-your-data-is-used-to-improve-model-performance" TargetMode="External"/><Relationship Id="rId29" Type="http://schemas.openxmlformats.org/officeDocument/2006/relationships/hyperlink" Target="https://www.anthropic.com/news/updates-to-our-consumer-terms" TargetMode="External"/><Relationship Id="rId7" Type="http://schemas.openxmlformats.org/officeDocument/2006/relationships/hyperlink" Target="https://www.nightfall.ai/blog/does-chatgpt-store-your-data-in-2025" TargetMode="External"/><Relationship Id="rId8" Type="http://schemas.openxmlformats.org/officeDocument/2006/relationships/hyperlink" Target="https://help.openai.com/en/articles/5722486-how-your-data-is-used-to-improve-model-performance" TargetMode="External"/><Relationship Id="rId31" Type="http://schemas.openxmlformats.org/officeDocument/2006/relationships/hyperlink" Target="https://privacy.claude.com/en/articles/10023580-is-my-data-used-for-model-training" TargetMode="External"/><Relationship Id="rId30" Type="http://schemas.openxmlformats.org/officeDocument/2006/relationships/hyperlink" Target="https://privacy.claude.com/en/articles/10023580-is-my-data-used-for-model-training" TargetMode="External"/><Relationship Id="rId11" Type="http://schemas.openxmlformats.org/officeDocument/2006/relationships/hyperlink" Target="https://carlosperez.io/how-to-disable-training-on-my-data-in-chatgpt-an-overview-on-openais-privacy-policy/" TargetMode="External"/><Relationship Id="rId33" Type="http://schemas.openxmlformats.org/officeDocument/2006/relationships/hyperlink" Target="https://privacy.claude.com/en/articles/7996868-is-my-data-used-for-model-training" TargetMode="External"/><Relationship Id="rId10" Type="http://schemas.openxmlformats.org/officeDocument/2006/relationships/hyperlink" Target="https://help.openai.com/en/articles/8983130-what-if-i-want-to-keep-my-history-on-but-disable-model-training" TargetMode="External"/><Relationship Id="rId32" Type="http://schemas.openxmlformats.org/officeDocument/2006/relationships/hyperlink" Target="https://privacy.claude.com/en/articles/7996868-is-my-data-used-for-model-training" TargetMode="External"/><Relationship Id="rId13" Type="http://schemas.openxmlformats.org/officeDocument/2006/relationships/hyperlink" Target="https://beebom.com/openai-secret-method-opt-out-chatgpt-model-training/" TargetMode="External"/><Relationship Id="rId35" Type="http://schemas.openxmlformats.org/officeDocument/2006/relationships/hyperlink" Target="https://www.garanteprivacy.it/" TargetMode="External"/><Relationship Id="rId12" Type="http://schemas.openxmlformats.org/officeDocument/2006/relationships/hyperlink" Target="https://help.openai.com/en/articles/5722486-how-your-data-is-used-to-improve-model-performance" TargetMode="External"/><Relationship Id="rId34" Type="http://schemas.openxmlformats.org/officeDocument/2006/relationships/hyperlink" Target="https://www.ftc.gov/news-events/news/press-releases/2023/05/ftc-says-ring-employees-illegally-surveilled-customers" TargetMode="External"/><Relationship Id="rId15" Type="http://schemas.openxmlformats.org/officeDocument/2006/relationships/hyperlink" Target="https://carlosperez.io/how-to-disable-training-on-my-data-in-chatgpt-an-overview-on-openais-privacy-policy/" TargetMode="External"/><Relationship Id="rId37" Type="http://schemas.openxmlformats.org/officeDocument/2006/relationships/hyperlink" Target="https://www.wola.org/2021/07/protests-and-human-rights-violations-in-colombia-second-alert/" TargetMode="External"/><Relationship Id="rId14" Type="http://schemas.openxmlformats.org/officeDocument/2006/relationships/hyperlink" Target="https://help.openai.com/en/articles/5722486-how-your-data-is-used-to-improve-model-performance" TargetMode="External"/><Relationship Id="rId36" Type="http://schemas.openxmlformats.org/officeDocument/2006/relationships/hyperlink" Target="https://www.garanteprivacy.it/" TargetMode="External"/><Relationship Id="rId17" Type="http://schemas.openxmlformats.org/officeDocument/2006/relationships/hyperlink" Target="https://www.threatdown.com/blog/how-to-keep-your-chatgpt-conversations-out-of-its-training-data/" TargetMode="External"/><Relationship Id="rId39" Type="http://schemas.openxmlformats.org/officeDocument/2006/relationships/hyperlink" Target="https://openai.com/business-data/" TargetMode="External"/><Relationship Id="rId16" Type="http://schemas.openxmlformats.org/officeDocument/2006/relationships/hyperlink" Target="https://help.openai.com/en/articles/5722486-how-your-data-is-used-to-improve-model-performance" TargetMode="External"/><Relationship Id="rId38" Type="http://schemas.openxmlformats.org/officeDocument/2006/relationships/hyperlink" Target="https://noyb.eu/en/noyb-sends-meta-cease-and-desist-letter-over-ai-training" TargetMode="External"/><Relationship Id="rId19" Type="http://schemas.openxmlformats.org/officeDocument/2006/relationships/hyperlink" Target="https://securityaffairs.com/177920/security/meta-plans-to-train-ai-on-eu-user-data-from-may-27-without-consent.html" TargetMode="External"/><Relationship Id="rId18" Type="http://schemas.openxmlformats.org/officeDocument/2006/relationships/hyperlink" Target="https://www.tomsguide.com/ai/keep-your-chatgpt-data-private-by-opting-out-of-training-heres-ho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