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Döntési táblák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Precíz és kompakt módja annak, hogy összetett logikát modellezzünk.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feltételek és kimeneteket összefüggéseit lehet velük felírni.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Elegáns módot nyújt arra, hogy sok független feltételt hozzunk összefüggésbe számos kimenettel.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Felépítés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453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Inputok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inputok ekvivalencia osztályai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jelentős funkcionális feldolgozási egységek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42405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Egyszerű változat az, ahol igaz-hamis bemenetek vannak. Ilyenkor n bemenetre 2^n lehetséges szabály van.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– bemenetek azt jelképezik, hogy nincs következménye a bemenetnek a többi miatt. Ezek valami le nem írt szabályszerűséget jeleznek. 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Felhasználás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specifikáció átalakítható ebbe, vagy le is írható ebben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bemeneteknek sorrendiségtől függetlennek kell lenniük (se a szabályok értelmezésben, se kimenetben)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Legtöbbszö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ez szokott lenni a helyzet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Amikor végigmegyünk egy szabályon és megvannak a kimenetek, más szabályokat már nem kell figyelembe vennünk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Feladat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Írjunk fel egy döntési táblát az alábbi scenariora: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Egy cég a sales alkalmazottainak bónuszt fizet, ha 1000$-nál többet értékesítenek a hónapban.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bónusz így néz ki: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0.5%, ha 1000$ felett értékesít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1%, ha 2000$ felett értékesít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1%, ha 5 éve a cégnél van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Az 3. pont additív a másik kettővel, de a 2. nem additív az 1. ponttal.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804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434D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8043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8043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804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0HtBOn6inCQx4qNobsOA9RG/Fw==">AMUW2mW7/CjmObsb2CeAC/iyrY2VJOKgZfEBPJbd9MfrWXoysOKlRJzH5sNuovjFnpBzT8KES5DP5bukJx00U+SL90TA3Rn64qs8FTgRVgM1SsR1wM/spqkAXFbLTmO6om/SNlF9s1fD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2023-03-14T09:04:00Z</dcterms:created>
  <dc:creator>Albert Jonas</dc:creator>
</cp:coreProperties>
</file>