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6"/>
          <w:szCs w:val="36"/>
        </w:rPr>
        <w:t xml:space="preserve">Take-Home Assignment: Multi-Agent Orchestration System</w:t>
      </w:r>
    </w:p>
    <w:p>
      <w:pPr>
        <w:spacing w:after="160"/>
      </w:pPr>
      <w:r>
        <w:rPr>
          <w:b/>
          <w:bCs/>
        </w:rPr>
        <w:t xml:space="preserve">Role: </w:t>
      </w:r>
      <w:r>
        <w:t xml:space="preserve">AI Engineer</w:t>
      </w:r>
      <w:r>
        <w:rPr>
          <w:b/>
          <w:bCs/>
        </w:rPr>
        <w:t xml:space="preserve">     |     Timeline: </w:t>
      </w:r>
      <w:r>
        <w:t xml:space="preserve">ASAP</w:t>
      </w:r>
      <w:r>
        <w:rPr>
          <w:b/>
          <w:bCs/>
        </w:rPr>
        <w:t xml:space="preserve">     |     Stack Required: </w:t>
      </w:r>
      <w:r>
        <w:t xml:space="preserve">Google ADK, MCP, GCP</w:t>
      </w:r>
    </w:p>
    <w:p>
      <w:pPr>
        <w:pBdr>
          <w:bottom w:val="single" w:color="AAAAAA" w:sz="6" w:space="1"/>
        </w:pBdr>
        <w:spacing w:after="240"/>
      </w:pPr>
    </w:p>
    <w:p>
      <w:pPr>
        <w:pStyle w:val="Heading1"/>
        <w:spacing w:after="160" w:before="320"/>
      </w:pPr>
      <w:r>
        <w:t xml:space="preserve">1. Overview</w:t>
      </w:r>
    </w:p>
    <w:p>
      <w:pPr>
        <w:spacing w:after="160"/>
      </w:pPr>
      <w:r>
        <w:t xml:space="preserve">You will design and build a small but production-shaped multi-agent orchestration system. The goal is not to build a large feature set — it is to demonstrate that you can architect agent-to-agent coordination, expose tools correctly over MCP, and deploy the result on GCP in a way a real team could extend.</w:t>
      </w:r>
    </w:p>
    <w:p>
      <w:pPr>
        <w:spacing w:after="160"/>
      </w:pPr>
      <w:r>
        <w:t xml:space="preserve">We are evaluating engineering judgment as much as code: how you decompose the problem into agents, how you route between them, how you handle failure, and how clean your GCP deployment is.</w:t>
      </w:r>
    </w:p>
    <w:p>
      <w:pPr>
        <w:pStyle w:val="Heading1"/>
        <w:spacing w:after="160" w:before="320"/>
      </w:pPr>
      <w:r>
        <w:t xml:space="preserve">2. Business Scenario</w:t>
      </w:r>
    </w:p>
    <w:p>
      <w:pPr>
        <w:spacing w:after="160"/>
      </w:pPr>
      <w:r>
        <w:t xml:space="preserve">Build an IT Support Triage Assistant. A user submits a plain-language request (e.g. "I can't access the shared drive" or "my laptop won't connect to VPN, and I also need a new software license approved"). The system must:</w:t>
      </w:r>
    </w:p>
    <w:p>
      <w:pPr>
        <w:pStyle w:val="ListParagraph"/>
        <w:numPr>
          <w:ilvl w:val="0"/>
          <w:numId w:val="1"/>
        </w:numPr>
        <w:spacing w:after="80"/>
      </w:pPr>
      <w:r>
        <w:t xml:space="preserve">Understand the intent of the request.</w:t>
      </w:r>
    </w:p>
    <w:p>
      <w:pPr>
        <w:pStyle w:val="ListParagraph"/>
        <w:numPr>
          <w:ilvl w:val="0"/>
          <w:numId w:val="1"/>
        </w:numPr>
        <w:spacing w:after="80"/>
      </w:pPr>
      <w:r>
        <w:t xml:space="preserve">Route it to the correct specialist agent (or agents, if the request spans domains).</w:t>
      </w:r>
    </w:p>
    <w:p>
      <w:pPr>
        <w:pStyle w:val="ListParagraph"/>
        <w:numPr>
          <w:ilvl w:val="0"/>
          <w:numId w:val="1"/>
        </w:numPr>
        <w:spacing w:after="80"/>
      </w:pPr>
      <w:r>
        <w:t xml:space="preserve">Have each specialist agent do real work using at least one external tool.</w:t>
      </w:r>
    </w:p>
    <w:p>
      <w:pPr>
        <w:pStyle w:val="ListParagraph"/>
        <w:numPr>
          <w:ilvl w:val="0"/>
          <w:numId w:val="1"/>
        </w:numPr>
        <w:spacing w:after="80"/>
      </w:pPr>
      <w:r>
        <w:t xml:space="preserve">Synthesize a single coherent response back to the user, including any follow-up actions taken.</w:t>
      </w:r>
    </w:p>
    <w:p>
      <w:pPr>
        <w:spacing w:after="160"/>
      </w:pPr>
      <w:r>
        <w:t xml:space="preserve">This scenario is intentionally close to real IT operations work so that routing ambiguity, multi-domain requests, and tool-calling all show up naturally — you shouldn't need to invent edge cases.</w:t>
      </w:r>
    </w:p>
    <w:p>
      <w:pPr>
        <w:pStyle w:val="Heading1"/>
        <w:spacing w:after="160" w:before="320"/>
      </w:pPr>
      <w:r>
        <w:t xml:space="preserve">3. Required Architecture</w:t>
      </w:r>
    </w:p>
    <w:p>
      <w:pPr>
        <w:spacing w:after="160"/>
      </w:pPr>
      <w:r>
        <w:t xml:space="preserve">Root Orchestrator (ADK Agent) — handles intent classification, routing decisions, and response synthesis. It fans out to one or more of the following specialist agents: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shd w:fill="2F5496" w:val="clear"/>
            <w:tcMar>
              <w:top w:type="dxa" w:w="100"/>
              <w:left w:type="dxa" w:w="120"/>
              <w:bottom w:type="dxa" w:w="100"/>
              <w:right w:type="dxa" w:w="120"/>
            </w:tcMar>
          </w:tcPr>
          <w:p>
            <w:r>
              <w:rPr>
                <w:b/>
                <w:bCs/>
                <w:color w:val="FFFFFF"/>
              </w:rPr>
              <w:t xml:space="preserve">Agent</w:t>
            </w:r>
          </w:p>
        </w:tc>
        <w:tc>
          <w:tcPr>
            <w:tcW w:type="dxa" w:w="7320"/>
            <w:shd w:fill="2F5496" w:val="clear"/>
            <w:tcMar>
              <w:top w:type="dxa" w:w="100"/>
              <w:left w:type="dxa" w:w="120"/>
              <w:bottom w:type="dxa" w:w="100"/>
              <w:right w:type="dxa" w:w="120"/>
            </w:tcMar>
          </w:tcPr>
          <w:p>
            <w:r>
              <w:rPr>
                <w:b/>
                <w:bCs/>
                <w:color w:val="FFFFFF"/>
              </w:rPr>
              <w:t xml:space="preserve">Responsibility</w:t>
            </w:r>
          </w:p>
        </w:tc>
      </w:tr>
      <w:tr>
        <w:tc>
          <w:tcPr>
            <w:tcW w:type="dxa" w:w="2400"/>
            <w:tcMar>
              <w:top w:type="dxa" w:w="100"/>
              <w:left w:type="dxa" w:w="120"/>
              <w:bottom w:type="dxa" w:w="100"/>
              <w:right w:type="dxa" w:w="120"/>
            </w:tcMar>
          </w:tcPr>
          <w:p>
            <w:r>
              <w:rPr>
                <w:b w:val="false"/>
                <w:bCs w:val="false"/>
              </w:rPr>
              <w:t xml:space="preserve">Root Orchestrator</w:t>
            </w:r>
          </w:p>
        </w:tc>
        <w:tc>
          <w:tcPr>
            <w:tcW w:type="dxa" w:w="7320"/>
            <w:tcMar>
              <w:top w:type="dxa" w:w="100"/>
              <w:left w:type="dxa" w:w="120"/>
              <w:bottom w:type="dxa" w:w="100"/>
              <w:right w:type="dxa" w:w="120"/>
            </w:tcMar>
          </w:tcPr>
          <w:p>
            <w:r>
              <w:rPr>
                <w:b w:val="false"/>
                <w:bCs w:val="false"/>
              </w:rPr>
              <w:t xml:space="preserve">Classifies incoming requests, decides which sub-agent(s) to invoke (single or multi-agent fan-out), and synthesizes the final response. Must handle requests that require more than one specialist.</w:t>
            </w:r>
          </w:p>
        </w:tc>
      </w:tr>
      <w:tr>
        <w:tc>
          <w:tcPr>
            <w:tcW w:type="dxa" w:w="2400"/>
            <w:tcMar>
              <w:top w:type="dxa" w:w="100"/>
              <w:left w:type="dxa" w:w="120"/>
              <w:bottom w:type="dxa" w:w="100"/>
              <w:right w:type="dxa" w:w="120"/>
            </w:tcMar>
          </w:tcPr>
          <w:p>
            <w:r>
              <w:rPr>
                <w:b w:val="false"/>
                <w:bCs w:val="false"/>
              </w:rPr>
              <w:t xml:space="preserve">Access Agent</w:t>
            </w:r>
          </w:p>
        </w:tc>
        <w:tc>
          <w:tcPr>
            <w:tcW w:type="dxa" w:w="7320"/>
            <w:tcMar>
              <w:top w:type="dxa" w:w="100"/>
              <w:left w:type="dxa" w:w="120"/>
              <w:bottom w:type="dxa" w:w="100"/>
              <w:right w:type="dxa" w:w="120"/>
            </w:tcMar>
          </w:tcPr>
          <w:p>
            <w:r>
              <w:rPr>
                <w:b w:val="false"/>
                <w:bCs w:val="false"/>
              </w:rPr>
              <w:t xml:space="preserve">Handles account, VPN, and drive access issues. Must call at least one MCP tool (e.g. a mock "check_user_access" or "reset_vpn_credentials" tool).</w:t>
            </w:r>
          </w:p>
        </w:tc>
      </w:tr>
      <w:tr>
        <w:tc>
          <w:tcPr>
            <w:tcW w:type="dxa" w:w="2400"/>
            <w:tcMar>
              <w:top w:type="dxa" w:w="100"/>
              <w:left w:type="dxa" w:w="120"/>
              <w:bottom w:type="dxa" w:w="100"/>
              <w:right w:type="dxa" w:w="120"/>
            </w:tcMar>
          </w:tcPr>
          <w:p>
            <w:r>
              <w:rPr>
                <w:b w:val="false"/>
                <w:bCs w:val="false"/>
              </w:rPr>
              <w:t xml:space="preserve">Hardware Agent</w:t>
            </w:r>
          </w:p>
        </w:tc>
        <w:tc>
          <w:tcPr>
            <w:tcW w:type="dxa" w:w="7320"/>
            <w:tcMar>
              <w:top w:type="dxa" w:w="100"/>
              <w:left w:type="dxa" w:w="120"/>
              <w:bottom w:type="dxa" w:w="100"/>
              <w:right w:type="dxa" w:w="120"/>
            </w:tcMar>
          </w:tcPr>
          <w:p>
            <w:r>
              <w:rPr>
                <w:b w:val="false"/>
                <w:bCs w:val="false"/>
              </w:rPr>
              <w:t xml:space="preserve">Handles device and hardware issues. Must call at least one MCP tool (e.g. "get_asset_status").</w:t>
            </w:r>
          </w:p>
        </w:tc>
      </w:tr>
      <w:tr>
        <w:tc>
          <w:tcPr>
            <w:tcW w:type="dxa" w:w="2400"/>
            <w:tcMar>
              <w:top w:type="dxa" w:w="100"/>
              <w:left w:type="dxa" w:w="120"/>
              <w:bottom w:type="dxa" w:w="100"/>
              <w:right w:type="dxa" w:w="120"/>
            </w:tcMar>
          </w:tcPr>
          <w:p>
            <w:r>
              <w:rPr>
                <w:b w:val="false"/>
                <w:bCs w:val="false"/>
              </w:rPr>
              <w:t xml:space="preserve">Licensing Agent</w:t>
            </w:r>
          </w:p>
        </w:tc>
        <w:tc>
          <w:tcPr>
            <w:tcW w:type="dxa" w:w="7320"/>
            <w:tcMar>
              <w:top w:type="dxa" w:w="100"/>
              <w:left w:type="dxa" w:w="120"/>
              <w:bottom w:type="dxa" w:w="100"/>
              <w:right w:type="dxa" w:w="120"/>
            </w:tcMar>
          </w:tcPr>
          <w:p>
            <w:r>
              <w:rPr>
                <w:b w:val="false"/>
                <w:bCs w:val="false"/>
              </w:rPr>
              <w:t xml:space="preserve">Handles software license requests, including an approval step. Must call at least one MCP tool (e.g. "request_license_approval").</w:t>
            </w:r>
          </w:p>
        </w:tc>
      </w:tr>
    </w:tbl>
    <w:p>
      <w:pPr>
        <w:spacing w:after="160"/>
      </w:pPr>
      <w:r>
        <w:t xml:space="preserve"/>
      </w:r>
    </w:p>
    <w:p>
      <w:pPr>
        <w:spacing w:after="160"/>
      </w:pPr>
      <w:r>
        <w:t xml:space="preserve">All specialist agents route their tool calls through a shared MCP server layer (see Section 4).</w:t>
      </w:r>
    </w:p>
    <w:p>
      <w:pPr>
        <w:spacing w:after="160"/>
      </w:pPr>
      <w:r>
        <w:t xml:space="preserve">You may add a fourth or fifth agent if your design calls for it, but do not add agents purely to look impressive — every agent should exist because the routing logic genuinely needs it.</w:t>
      </w:r>
    </w:p>
    <w:p>
      <w:pPr>
        <w:pStyle w:val="Heading1"/>
        <w:spacing w:after="160" w:before="320"/>
      </w:pPr>
      <w:r>
        <w:t xml:space="preserve">4. MCP Requirement</w:t>
      </w:r>
    </w:p>
    <w:p>
      <w:pPr>
        <w:spacing w:after="160"/>
      </w:pPr>
      <w:r>
        <w:t xml:space="preserve">You must stand up your own MCP server (Python or TypeScript SDK, your choice) exposing at least four tools total across the three domains above. This is not optional and not satisfied by using someone else's hosted MCP server — we want to see you define tool schemas, implement handlers, and wire an ADK agent to call them correctly.</w:t>
      </w:r>
    </w:p>
    <w:p>
      <w:pPr>
        <w:spacing w:after="160"/>
      </w:pPr>
      <w:r>
        <w:t xml:space="preserve">Tools can be mocked (no real backend system required) but must:</w:t>
      </w:r>
    </w:p>
    <w:p>
      <w:pPr>
        <w:pStyle w:val="ListParagraph"/>
        <w:numPr>
          <w:ilvl w:val="0"/>
          <w:numId w:val="1"/>
        </w:numPr>
        <w:spacing w:after="80"/>
      </w:pPr>
      <w:r>
        <w:t xml:space="preserve">Have realistic, well-typed input and output schemas.</w:t>
      </w:r>
    </w:p>
    <w:p>
      <w:pPr>
        <w:pStyle w:val="ListParagraph"/>
        <w:numPr>
          <w:ilvl w:val="0"/>
          <w:numId w:val="1"/>
        </w:numPr>
        <w:spacing w:after="80"/>
      </w:pPr>
      <w:r>
        <w:t xml:space="preserve">Return structured data, not just a string.</w:t>
      </w:r>
    </w:p>
    <w:p>
      <w:pPr>
        <w:pStyle w:val="ListParagraph"/>
        <w:numPr>
          <w:ilvl w:val="0"/>
          <w:numId w:val="1"/>
        </w:numPr>
        <w:spacing w:after="80"/>
      </w:pPr>
      <w:r>
        <w:t xml:space="preserve">Simulate at least one failure mode (e.g. "asset not found", "approval denied") that your agent must handle gracefully rather than crash on.</w:t>
      </w:r>
    </w:p>
    <w:p>
      <w:pPr>
        <w:pStyle w:val="Heading1"/>
        <w:spacing w:after="160" w:before="320"/>
      </w:pPr>
      <w:r>
        <w:t xml:space="preserve">5. GCP Deployment Requirements</w:t>
      </w:r>
    </w:p>
    <w:p>
      <w:pPr>
        <w:pStyle w:val="ListParagraph"/>
        <w:numPr>
          <w:ilvl w:val="0"/>
          <w:numId w:val="1"/>
        </w:numPr>
        <w:spacing w:after="80"/>
      </w:pPr>
      <w:r>
        <w:t xml:space="preserve">Deploy the orchestrator and MCP server as separate Cloud Run services (this mirrors how agent-to-tool separation should look in a real deployment).</w:t>
      </w:r>
    </w:p>
    <w:p>
      <w:pPr>
        <w:pStyle w:val="ListParagraph"/>
        <w:numPr>
          <w:ilvl w:val="0"/>
          <w:numId w:val="1"/>
        </w:numPr>
        <w:spacing w:after="80"/>
      </w:pPr>
      <w:r>
        <w:t xml:space="preserve">Use Vertex AI as the model backend for your ADK agents (Gemini family).</w:t>
      </w:r>
    </w:p>
    <w:p>
      <w:pPr>
        <w:pStyle w:val="ListParagraph"/>
        <w:numPr>
          <w:ilvl w:val="0"/>
          <w:numId w:val="1"/>
        </w:numPr>
        <w:spacing w:after="80"/>
      </w:pPr>
      <w:r>
        <w:t xml:space="preserve">Service-to-service auth between Cloud Run services must use proper IAM, not open endpoints or shared secrets.</w:t>
      </w:r>
    </w:p>
    <w:p>
      <w:pPr>
        <w:pStyle w:val="ListParagraph"/>
        <w:numPr>
          <w:ilvl w:val="0"/>
          <w:numId w:val="1"/>
        </w:numPr>
        <w:spacing w:after="80"/>
      </w:pPr>
      <w:r>
        <w:t xml:space="preserve">Include a minimal CI setup (GitHub Actions is fine) that at least lints and runs your tests on push. Full CD is a bonus, not required.</w:t>
      </w:r>
    </w:p>
    <w:p>
      <w:pPr>
        <w:pStyle w:val="ListParagraph"/>
        <w:numPr>
          <w:ilvl w:val="0"/>
          <w:numId w:val="1"/>
        </w:numPr>
        <w:spacing w:after="80"/>
      </w:pPr>
      <w:r>
        <w:t xml:space="preserve">Provide either Terraform or a documented gcloud script for provisioning — we should be able to reproduce your deployment from scratch.</w:t>
      </w:r>
    </w:p>
    <w:p>
      <w:pPr>
        <w:pStyle w:val="Heading1"/>
        <w:spacing w:after="160" w:before="320"/>
      </w:pPr>
      <w:r>
        <w:t xml:space="preserve">6. Functional Requirements Checklist</w:t>
      </w:r>
    </w:p>
    <w:p>
      <w:pPr>
        <w:spacing w:after="160"/>
      </w:pPr>
      <w:r>
        <w:t xml:space="preserve">Your submission should satisfy all of the following:</w:t>
      </w:r>
    </w:p>
    <w:p>
      <w:pPr>
        <w:spacing w:after="100"/>
        <w:ind w:left="360"/>
      </w:pPr>
      <w:r>
        <w:rPr>
          <w:rFonts w:ascii="Segoe UI Symbol" w:cs="Segoe UI Symbol" w:eastAsia="Segoe UI Symbol" w:hAnsi="Segoe UI Symbol"/>
        </w:rPr>
        <w:t xml:space="preserve">☐  </w:t>
      </w:r>
      <w:r>
        <w:t xml:space="preserve">Root orchestrator correctly classifies and routes at least 3 distinct request types.</w:t>
      </w:r>
    </w:p>
    <w:p>
      <w:pPr>
        <w:spacing w:after="100"/>
        <w:ind w:left="360"/>
      </w:pPr>
      <w:r>
        <w:rPr>
          <w:rFonts w:ascii="Segoe UI Symbol" w:cs="Segoe UI Symbol" w:eastAsia="Segoe UI Symbol" w:hAnsi="Segoe UI Symbol"/>
        </w:rPr>
        <w:t xml:space="preserve">☐  </w:t>
      </w:r>
      <w:r>
        <w:t xml:space="preserve">At least one test case demonstrates multi-agent fan-out (a single user request that requires two sub-agents, with results merged into one response).</w:t>
      </w:r>
    </w:p>
    <w:p>
      <w:pPr>
        <w:spacing w:after="100"/>
        <w:ind w:left="360"/>
      </w:pPr>
      <w:r>
        <w:rPr>
          <w:rFonts w:ascii="Segoe UI Symbol" w:cs="Segoe UI Symbol" w:eastAsia="Segoe UI Symbol" w:hAnsi="Segoe UI Symbol"/>
        </w:rPr>
        <w:t xml:space="preserve">☐  </w:t>
      </w:r>
      <w:r>
        <w:t xml:space="preserve">Each sub-agent successfully calls at least one MCP tool.</w:t>
      </w:r>
    </w:p>
    <w:p>
      <w:pPr>
        <w:spacing w:after="100"/>
        <w:ind w:left="360"/>
      </w:pPr>
      <w:r>
        <w:rPr>
          <w:rFonts w:ascii="Segoe UI Symbol" w:cs="Segoe UI Symbol" w:eastAsia="Segoe UI Symbol" w:hAnsi="Segoe UI Symbol"/>
        </w:rPr>
        <w:t xml:space="preserve">☐  </w:t>
      </w:r>
      <w:r>
        <w:t xml:space="preserve">One sub-agent handles a tool failure gracefully (no unhandled exceptions bubbling to the user; a sensible fallback message instead).</w:t>
      </w:r>
    </w:p>
    <w:p>
      <w:pPr>
        <w:spacing w:after="100"/>
        <w:ind w:left="360"/>
      </w:pPr>
      <w:r>
        <w:rPr>
          <w:rFonts w:ascii="Segoe UI Symbol" w:cs="Segoe UI Symbol" w:eastAsia="Segoe UI Symbol" w:hAnsi="Segoe UI Symbol"/>
        </w:rPr>
        <w:t xml:space="preserve">☐  </w:t>
      </w:r>
      <w:r>
        <w:t xml:space="preserve">Session/conversation state persists across at least 2 turns (the user can ask a follow-up without re-stating context).</w:t>
      </w:r>
    </w:p>
    <w:p>
      <w:pPr>
        <w:spacing w:after="100"/>
        <w:ind w:left="360"/>
      </w:pPr>
      <w:r>
        <w:rPr>
          <w:rFonts w:ascii="Segoe UI Symbol" w:cs="Segoe UI Symbol" w:eastAsia="Segoe UI Symbol" w:hAnsi="Segoe UI Symbol"/>
        </w:rPr>
        <w:t xml:space="preserve">☐  </w:t>
      </w:r>
      <w:r>
        <w:t xml:space="preserve">Basic observability: structured logs or traces showing which agent handled which part of a request, and which tools were called.</w:t>
      </w:r>
    </w:p>
    <w:p>
      <w:pPr>
        <w:spacing w:after="100"/>
        <w:ind w:left="360"/>
      </w:pPr>
      <w:r>
        <w:rPr>
          <w:rFonts w:ascii="Segoe UI Symbol" w:cs="Segoe UI Symbol" w:eastAsia="Segoe UI Symbol" w:hAnsi="Segoe UI Symbol"/>
        </w:rPr>
        <w:t xml:space="preserve">☐  </w:t>
      </w:r>
      <w:r>
        <w:t xml:space="preserve">Deployed and reachable on Cloud Run (provide the URL or a way for us to run it ourselves).</w:t>
      </w:r>
    </w:p>
    <w:p>
      <w:pPr>
        <w:pStyle w:val="Heading1"/>
        <w:spacing w:after="160" w:before="320"/>
      </w:pPr>
      <w:r>
        <w:t xml:space="preserve">7. Deliverables</w:t>
      </w:r>
    </w:p>
    <w:p>
      <w:pPr>
        <w:pStyle w:val="Heading2"/>
        <w:spacing w:after="120" w:before="240"/>
      </w:pPr>
      <w:r>
        <w:t xml:space="preserve">1. GitHub repository</w:t>
      </w:r>
    </w:p>
    <w:p>
      <w:pPr>
        <w:spacing w:after="160"/>
      </w:pPr>
      <w:r>
        <w:t xml:space="preserve">Public, or with us added as collaborators, containing:</w:t>
      </w:r>
    </w:p>
    <w:p>
      <w:pPr>
        <w:pStyle w:val="ListParagraph"/>
        <w:numPr>
          <w:ilvl w:val="0"/>
          <w:numId w:val="1"/>
        </w:numPr>
        <w:spacing w:after="80"/>
      </w:pPr>
      <w:r>
        <w:t xml:space="preserve">ADK agent code (root orchestrator and sub-agents)</w:t>
      </w:r>
    </w:p>
    <w:p>
      <w:pPr>
        <w:pStyle w:val="ListParagraph"/>
        <w:numPr>
          <w:ilvl w:val="0"/>
          <w:numId w:val="1"/>
        </w:numPr>
        <w:spacing w:after="80"/>
      </w:pPr>
      <w:r>
        <w:t xml:space="preserve">MCP server code and tool definitions</w:t>
      </w:r>
    </w:p>
    <w:p>
      <w:pPr>
        <w:pStyle w:val="ListParagraph"/>
        <w:numPr>
          <w:ilvl w:val="0"/>
          <w:numId w:val="1"/>
        </w:numPr>
        <w:spacing w:after="80"/>
      </w:pPr>
      <w:r>
        <w:t xml:space="preserve">Deployment scripts or Terraform</w:t>
      </w:r>
    </w:p>
    <w:p>
      <w:pPr>
        <w:pStyle w:val="ListParagraph"/>
        <w:numPr>
          <w:ilvl w:val="0"/>
          <w:numId w:val="1"/>
        </w:numPr>
        <w:spacing w:after="80"/>
      </w:pPr>
      <w:r>
        <w:t xml:space="preserve">Tests (unit tests for routing logic at minimum; integration test for at least one end-to-end flow)</w:t>
      </w:r>
    </w:p>
    <w:p>
      <w:pPr>
        <w:pStyle w:val="Heading2"/>
        <w:spacing w:after="120" w:before="240"/>
      </w:pPr>
      <w:r>
        <w:t xml:space="preserve">2. README</w:t>
      </w:r>
    </w:p>
    <w:p>
      <w:pPr>
        <w:pStyle w:val="ListParagraph"/>
        <w:numPr>
          <w:ilvl w:val="0"/>
          <w:numId w:val="1"/>
        </w:numPr>
        <w:spacing w:after="80"/>
      </w:pPr>
      <w:r>
        <w:t xml:space="preserve">Architecture overview and why you split agents the way you did</w:t>
      </w:r>
    </w:p>
    <w:p>
      <w:pPr>
        <w:pStyle w:val="ListParagraph"/>
        <w:numPr>
          <w:ilvl w:val="0"/>
          <w:numId w:val="1"/>
        </w:numPr>
        <w:spacing w:after="80"/>
      </w:pPr>
      <w:r>
        <w:t xml:space="preserve">How to run locally</w:t>
      </w:r>
    </w:p>
    <w:p>
      <w:pPr>
        <w:pStyle w:val="ListParagraph"/>
        <w:numPr>
          <w:ilvl w:val="0"/>
          <w:numId w:val="1"/>
        </w:numPr>
        <w:spacing w:after="80"/>
      </w:pPr>
      <w:r>
        <w:t xml:space="preserve">How to deploy to GCP</w:t>
      </w:r>
    </w:p>
    <w:p>
      <w:pPr>
        <w:pStyle w:val="ListParagraph"/>
        <w:numPr>
          <w:ilvl w:val="0"/>
          <w:numId w:val="1"/>
        </w:numPr>
        <w:spacing w:after="80"/>
      </w:pPr>
      <w:r>
        <w:t xml:space="preserve">Known limitations and what you would do with more time</w:t>
      </w:r>
    </w:p>
    <w:p>
      <w:pPr>
        <w:pStyle w:val="Heading2"/>
        <w:spacing w:after="120" w:before="240"/>
      </w:pPr>
      <w:r>
        <w:t xml:space="preserve">3. Architecture diagram</w:t>
      </w:r>
    </w:p>
    <w:p>
      <w:pPr>
        <w:spacing w:after="160"/>
      </w:pPr>
      <w:r>
        <w:t xml:space="preserve">draw.io, Excalidraw, or similar — image or link is fine — showing your actual system, not just the reference diagram in Section 3.</w:t>
      </w:r>
    </w:p>
    <w:p>
      <w:pPr>
        <w:pStyle w:val="Heading2"/>
        <w:spacing w:after="120" w:before="240"/>
      </w:pPr>
      <w:r>
        <w:t xml:space="preserve">4. Recorded walkthrough</w:t>
      </w:r>
    </w:p>
    <w:p>
      <w:pPr>
        <w:spacing w:after="160"/>
      </w:pPr>
      <w:r>
        <w:t xml:space="preserve">A 5–10 minute Loom (or similar) demoing a single-domain request and a multi-domain fan-out request live against your deployed system.</w:t>
      </w:r>
    </w:p>
    <w:p>
      <w:pPr>
        <w:pStyle w:val="Heading1"/>
        <w:spacing w:after="160" w:before="320"/>
      </w:pPr>
      <w:r>
        <w:t xml:space="preserve">8. What We're Evaluating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6900"/>
      </w:tblGrid>
      <w:tr>
        <w:tc>
          <w:tcPr>
            <w:tcW w:type="dxa" w:w="2700"/>
            <w:shd w:fill="2F5496" w:val="clear"/>
            <w:tcMar>
              <w:top w:type="dxa" w:w="100"/>
              <w:left w:type="dxa" w:w="120"/>
              <w:bottom w:type="dxa" w:w="100"/>
              <w:right w:type="dxa" w:w="120"/>
            </w:tcMar>
          </w:tcPr>
          <w:p>
            <w:r>
              <w:rPr>
                <w:b/>
                <w:bCs/>
                <w:color w:val="FFFFFF"/>
              </w:rPr>
              <w:t xml:space="preserve">Area</w:t>
            </w:r>
          </w:p>
        </w:tc>
        <w:tc>
          <w:tcPr>
            <w:tcW w:type="dxa" w:w="6900"/>
            <w:shd w:fill="2F5496" w:val="clear"/>
            <w:tcMar>
              <w:top w:type="dxa" w:w="100"/>
              <w:left w:type="dxa" w:w="120"/>
              <w:bottom w:type="dxa" w:w="100"/>
              <w:right w:type="dxa" w:w="120"/>
            </w:tcMar>
          </w:tcPr>
          <w:p>
            <w:r>
              <w:rPr>
                <w:b/>
                <w:bCs/>
                <w:color w:val="FFFFFF"/>
              </w:rPr>
              <w:t xml:space="preserve">What We Look For</w:t>
            </w:r>
          </w:p>
        </w:tc>
      </w:tr>
      <w:tr>
        <w:tc>
          <w:tcPr>
            <w:tcW w:type="dxa" w:w="2700"/>
            <w:tcMar>
              <w:top w:type="dxa" w:w="100"/>
              <w:left w:type="dxa" w:w="120"/>
              <w:bottom w:type="dxa" w:w="100"/>
              <w:right w:type="dxa" w:w="120"/>
            </w:tcMar>
          </w:tcPr>
          <w:p>
            <w:r>
              <w:rPr>
                <w:b w:val="false"/>
                <w:bCs w:val="false"/>
              </w:rPr>
              <w:t xml:space="preserve">Architecture and routing logic</w:t>
            </w:r>
          </w:p>
        </w:tc>
        <w:tc>
          <w:tcPr>
            <w:tcW w:type="dxa" w:w="6900"/>
            <w:tcMar>
              <w:top w:type="dxa" w:w="100"/>
              <w:left w:type="dxa" w:w="120"/>
              <w:bottom w:type="dxa" w:w="100"/>
              <w:right w:type="dxa" w:w="120"/>
            </w:tcMar>
          </w:tcPr>
          <w:p>
            <w:r>
              <w:rPr>
                <w:b w:val="false"/>
                <w:bCs w:val="false"/>
              </w:rPr>
              <w:t xml:space="preserve">Is the orchestrator's routing decision sound and explainable? Does multi-agent fan-out actually work, or is it faked?</w:t>
            </w:r>
          </w:p>
        </w:tc>
      </w:tr>
      <w:tr>
        <w:tc>
          <w:tcPr>
            <w:tcW w:type="dxa" w:w="2700"/>
            <w:tcMar>
              <w:top w:type="dxa" w:w="100"/>
              <w:left w:type="dxa" w:w="120"/>
              <w:bottom w:type="dxa" w:w="100"/>
              <w:right w:type="dxa" w:w="120"/>
            </w:tcMar>
          </w:tcPr>
          <w:p>
            <w:r>
              <w:rPr>
                <w:b w:val="false"/>
                <w:bCs w:val="false"/>
              </w:rPr>
              <w:t xml:space="preserve">MCP implementation</w:t>
            </w:r>
          </w:p>
        </w:tc>
        <w:tc>
          <w:tcPr>
            <w:tcW w:type="dxa" w:w="6900"/>
            <w:tcMar>
              <w:top w:type="dxa" w:w="100"/>
              <w:left w:type="dxa" w:w="120"/>
              <w:bottom w:type="dxa" w:w="100"/>
              <w:right w:type="dxa" w:w="120"/>
            </w:tcMar>
          </w:tcPr>
          <w:p>
            <w:r>
              <w:rPr>
                <w:b w:val="false"/>
                <w:bCs w:val="false"/>
              </w:rPr>
              <w:t xml:space="preserve">Are tool schemas well-designed? Is error handling real?</w:t>
            </w:r>
          </w:p>
        </w:tc>
      </w:tr>
      <w:tr>
        <w:tc>
          <w:tcPr>
            <w:tcW w:type="dxa" w:w="2700"/>
            <w:tcMar>
              <w:top w:type="dxa" w:w="100"/>
              <w:left w:type="dxa" w:w="120"/>
              <w:bottom w:type="dxa" w:w="100"/>
              <w:right w:type="dxa" w:w="120"/>
            </w:tcMar>
          </w:tcPr>
          <w:p>
            <w:r>
              <w:rPr>
                <w:b w:val="false"/>
                <w:bCs w:val="false"/>
              </w:rPr>
              <w:t xml:space="preserve">GCP deployment quality</w:t>
            </w:r>
          </w:p>
        </w:tc>
        <w:tc>
          <w:tcPr>
            <w:tcW w:type="dxa" w:w="6900"/>
            <w:tcMar>
              <w:top w:type="dxa" w:w="100"/>
              <w:left w:type="dxa" w:w="120"/>
              <w:bottom w:type="dxa" w:w="100"/>
              <w:right w:type="dxa" w:w="120"/>
            </w:tcMar>
          </w:tcPr>
          <w:p>
            <w:r>
              <w:rPr>
                <w:b w:val="false"/>
                <w:bCs w:val="false"/>
              </w:rPr>
              <w:t xml:space="preserve">IAM correctness, service separation, reproducibility</w:t>
            </w:r>
          </w:p>
        </w:tc>
      </w:tr>
      <w:tr>
        <w:tc>
          <w:tcPr>
            <w:tcW w:type="dxa" w:w="2700"/>
            <w:tcMar>
              <w:top w:type="dxa" w:w="100"/>
              <w:left w:type="dxa" w:w="120"/>
              <w:bottom w:type="dxa" w:w="100"/>
              <w:right w:type="dxa" w:w="120"/>
            </w:tcMar>
          </w:tcPr>
          <w:p>
            <w:r>
              <w:rPr>
                <w:b w:val="false"/>
                <w:bCs w:val="false"/>
              </w:rPr>
              <w:t xml:space="preserve">Code quality</w:t>
            </w:r>
          </w:p>
        </w:tc>
        <w:tc>
          <w:tcPr>
            <w:tcW w:type="dxa" w:w="6900"/>
            <w:tcMar>
              <w:top w:type="dxa" w:w="100"/>
              <w:left w:type="dxa" w:w="120"/>
              <w:bottom w:type="dxa" w:w="100"/>
              <w:right w:type="dxa" w:w="120"/>
            </w:tcMar>
          </w:tcPr>
          <w:p>
            <w:r>
              <w:rPr>
                <w:b w:val="false"/>
                <w:bCs w:val="false"/>
              </w:rPr>
              <w:t xml:space="preserve">Readability, structure, sensible use of ADK primitives (not fighting the framework)</w:t>
            </w:r>
          </w:p>
        </w:tc>
      </w:tr>
      <w:tr>
        <w:tc>
          <w:tcPr>
            <w:tcW w:type="dxa" w:w="2700"/>
            <w:tcMar>
              <w:top w:type="dxa" w:w="100"/>
              <w:left w:type="dxa" w:w="120"/>
              <w:bottom w:type="dxa" w:w="100"/>
              <w:right w:type="dxa" w:w="120"/>
            </w:tcMar>
          </w:tcPr>
          <w:p>
            <w:r>
              <w:rPr>
                <w:b w:val="false"/>
                <w:bCs w:val="false"/>
              </w:rPr>
              <w:t xml:space="preserve">Judgment under ambiguity</w:t>
            </w:r>
          </w:p>
        </w:tc>
        <w:tc>
          <w:tcPr>
            <w:tcW w:type="dxa" w:w="6900"/>
            <w:tcMar>
              <w:top w:type="dxa" w:w="100"/>
              <w:left w:type="dxa" w:w="120"/>
              <w:bottom w:type="dxa" w:w="100"/>
              <w:right w:type="dxa" w:w="120"/>
            </w:tcMar>
          </w:tcPr>
          <w:p>
            <w:r>
              <w:rPr>
                <w:b w:val="false"/>
                <w:bCs w:val="false"/>
              </w:rPr>
              <w:t xml:space="preserve">The scenario has intentional ambiguity (e.g. "VPN and license" requests) — how you resolve it tells us a lot</w:t>
            </w:r>
          </w:p>
        </w:tc>
      </w:tr>
      <w:tr>
        <w:tc>
          <w:tcPr>
            <w:tcW w:type="dxa" w:w="2700"/>
            <w:tcMar>
              <w:top w:type="dxa" w:w="100"/>
              <w:left w:type="dxa" w:w="120"/>
              <w:bottom w:type="dxa" w:w="100"/>
              <w:right w:type="dxa" w:w="120"/>
            </w:tcMar>
          </w:tcPr>
          <w:p>
            <w:r>
              <w:rPr>
                <w:b w:val="false"/>
                <w:bCs w:val="false"/>
              </w:rPr>
              <w:t xml:space="preserve">Communication</w:t>
            </w:r>
          </w:p>
        </w:tc>
        <w:tc>
          <w:tcPr>
            <w:tcW w:type="dxa" w:w="6900"/>
            <w:tcMar>
              <w:top w:type="dxa" w:w="100"/>
              <w:left w:type="dxa" w:w="120"/>
              <w:bottom w:type="dxa" w:w="100"/>
              <w:right w:type="dxa" w:w="120"/>
            </w:tcMar>
          </w:tcPr>
          <w:p>
            <w:r>
              <w:rPr>
                <w:b w:val="false"/>
                <w:bCs w:val="false"/>
              </w:rPr>
              <w:t xml:space="preserve">README and walkthrough clarity</w:t>
            </w:r>
          </w:p>
        </w:tc>
      </w:tr>
    </w:tbl>
    <w:p>
      <w:pPr>
        <w:spacing w:after="160"/>
      </w:pPr>
      <w:r>
        <w:t xml:space="preserve"/>
      </w:r>
    </w:p>
    <w:p>
      <w:pPr>
        <w:spacing w:after="160"/>
      </w:pPr>
      <w:r>
        <w:t xml:space="preserve">We are explicitly not scoring on: UI polish, number of agents, or extra unrequested features. A clean 3-agent system that works end-to-end beats a 6-agent system with broken fan-out.</w:t>
      </w:r>
    </w:p>
    <w:p>
      <w:pPr>
        <w:pStyle w:val="Heading1"/>
        <w:spacing w:after="160" w:before="320"/>
      </w:pPr>
      <w:r>
        <w:t xml:space="preserve">9. Constraints and Guidelines</w:t>
      </w:r>
    </w:p>
    <w:p>
      <w:pPr>
        <w:pStyle w:val="ListParagraph"/>
        <w:numPr>
          <w:ilvl w:val="0"/>
          <w:numId w:val="1"/>
        </w:numPr>
        <w:spacing w:after="80"/>
      </w:pPr>
      <w:r>
        <w:t xml:space="preserve">Use Google ADK as the agent framework. Do not substitute LangGraph, CrewAI, or similar — we specifically want to see ADK familiarity.</w:t>
      </w:r>
    </w:p>
    <w:p>
      <w:pPr>
        <w:pStyle w:val="ListParagraph"/>
        <w:numPr>
          <w:ilvl w:val="0"/>
          <w:numId w:val="1"/>
        </w:numPr>
        <w:spacing w:after="80"/>
      </w:pPr>
      <w:r>
        <w:t xml:space="preserve">MCP server must be genuinely separate from the orchestrator (own process or service), not an in-process function pretending to be MCP.</w:t>
      </w:r>
    </w:p>
    <w:p>
      <w:pPr>
        <w:pStyle w:val="ListParagraph"/>
        <w:numPr>
          <w:ilvl w:val="0"/>
          <w:numId w:val="1"/>
        </w:numPr>
        <w:spacing w:after="80"/>
      </w:pPr>
      <w:r>
        <w:t xml:space="preserve">You may use any LLM available via Vertex AI (Gemini 2.x family recommended for cost during development).</w:t>
      </w:r>
    </w:p>
    <w:p>
      <w:pPr>
        <w:pStyle w:val="ListParagraph"/>
        <w:numPr>
          <w:ilvl w:val="0"/>
          <w:numId w:val="1"/>
        </w:numPr>
        <w:spacing w:after="80"/>
      </w:pPr>
      <w:r>
        <w:t xml:space="preserve">Mock external systems freely, but don't mock the MCP layer itself or the ADK agent-to-agent communication.</w:t>
      </w:r>
    </w:p>
    <w:p>
      <w:pPr>
        <w:pStyle w:val="ListParagraph"/>
        <w:numPr>
          <w:ilvl w:val="0"/>
          <w:numId w:val="1"/>
        </w:numPr>
        <w:spacing w:after="80"/>
      </w:pPr>
      <w:r>
        <w:t xml:space="preserve">Reasonable use of AI coding assistants is fine — we care about the result and your ability to explain your design decisions in the walkthrough and any follow-up conversation.</w:t>
      </w:r>
    </w:p>
    <w:p>
      <w:pPr>
        <w:pStyle w:val="Heading1"/>
        <w:spacing w:after="160" w:before="320"/>
      </w:pPr>
      <w:r>
        <w:t xml:space="preserve">10. Submission</w:t>
      </w:r>
    </w:p>
    <w:p>
      <w:pPr>
        <w:spacing w:after="160"/>
      </w:pPr>
      <w:r>
        <w:t xml:space="preserve">This assignment needs to be completed ASAP. Please submit as soon as you are able to:</w:t>
      </w:r>
    </w:p>
    <w:p>
      <w:pPr>
        <w:pStyle w:val="ListParagraph"/>
        <w:numPr>
          <w:ilvl w:val="0"/>
          <w:numId w:val="1"/>
        </w:numPr>
        <w:spacing w:after="80"/>
      </w:pPr>
      <w:r>
        <w:t xml:space="preserve">Repository link</w:t>
      </w:r>
    </w:p>
    <w:p>
      <w:pPr>
        <w:pStyle w:val="ListParagraph"/>
        <w:numPr>
          <w:ilvl w:val="0"/>
          <w:numId w:val="1"/>
        </w:numPr>
        <w:spacing w:after="80"/>
      </w:pPr>
      <w:r>
        <w:t xml:space="preserve">Deployed Cloud Run URL (can be torn down after review — just let us know how long it will stay up)</w:t>
      </w:r>
    </w:p>
    <w:p>
      <w:pPr>
        <w:pStyle w:val="ListParagraph"/>
        <w:numPr>
          <w:ilvl w:val="0"/>
          <w:numId w:val="1"/>
        </w:numPr>
        <w:spacing w:after="80"/>
      </w:pPr>
      <w:r>
        <w:t xml:space="preserve">Loom walkthrough link</w:t>
      </w:r>
    </w:p>
    <w:p>
      <w:pPr>
        <w:pStyle w:val="ListParagraph"/>
        <w:numPr>
          <w:ilvl w:val="0"/>
          <w:numId w:val="1"/>
        </w:numPr>
        <w:spacing w:after="80"/>
      </w:pPr>
      <w:r>
        <w:t xml:space="preserve">Any notes on trade-offs made due to time constraints</w:t>
      </w:r>
    </w:p>
    <w:p>
      <w:pPr>
        <w:spacing w:after="160"/>
      </w:pPr>
      <w:r>
        <w:t xml:space="preserve"/>
      </w:r>
    </w:p>
    <w:p>
      <w:pPr>
        <w:spacing w:after="160"/>
      </w:pPr>
      <w:r>
        <w:t xml:space="preserve">If you have questions about scope during the assignment, reasonable clarifying questions are welcome — how you scope ambiguity is itself part of what we're assessing, so don't hesitate to make and document a judgment call instead of blocking on an answer.</w:t>
      </w:r>
    </w:p>
    <w:p>
      <w:pPr>
        <w:spacing w:after="160"/>
      </w:pPr>
      <w:r>
        <w:t xml:space="preserve"/>
      </w:r>
    </w:p>
    <w:p>
      <w:pPr>
        <w:spacing w:after="160"/>
      </w:pPr>
      <w:r>
        <w:rPr>
          <w:i/>
          <w:iCs/>
        </w:rPr>
        <w:t xml:space="preserve">Good luck — we're looking forward to seeing how you think about this.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2026-08-09T23:15:57.719Z</dcterms:created>
  <dcterms:modified xsi:type="dcterms:W3CDTF">2026-08-09T23:15:57.756Z</dcterms:modified>
</cp:coreProperties>
</file>

<file path=docProps/custom.xml><?xml version="1.0" encoding="utf-8"?>
<Properties xmlns="http://schemas.openxmlformats.org/officeDocument/2006/custom-properties" xmlns:vt="http://schemas.openxmlformats.org/officeDocument/2006/docPropsVTypes"/>
</file>