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786D" w14:textId="1FB3078D" w:rsidR="00D84D61" w:rsidRPr="00B01EF0" w:rsidRDefault="00965DD2" w:rsidP="00B01EF0">
      <w:pPr>
        <w:widowControl/>
        <w:rPr>
          <w:rFonts w:ascii="Times New Roman" w:eastAsia="DFKai-SB" w:hAnsi="Times New Roman" w:cs="Times New Roman"/>
          <w:u w:val="single"/>
          <w:lang w:val="fr-CH"/>
        </w:rPr>
      </w:pPr>
      <w:r w:rsidRPr="00B01EF0">
        <w:rPr>
          <w:rFonts w:ascii="Times New Roman" w:eastAsia="DFKai-SB" w:hAnsi="Times New Roman" w:cs="Times New Roman"/>
          <w:u w:val="single"/>
          <w:lang w:val="fr-CH"/>
        </w:rPr>
        <w:t>TRAP</w:t>
      </w:r>
      <w:proofErr w:type="gramStart"/>
      <w:r w:rsidRPr="00B01EF0">
        <w:rPr>
          <w:rFonts w:ascii="Times New Roman" w:eastAsia="DFKai-SB" w:hAnsi="Times New Roman" w:cs="Times New Roman"/>
          <w:u w:val="single"/>
          <w:lang w:val="fr-CH"/>
        </w:rPr>
        <w:t>2:</w:t>
      </w:r>
      <w:proofErr w:type="gramEnd"/>
      <w:r w:rsidRPr="00B01EF0">
        <w:rPr>
          <w:rFonts w:ascii="Times New Roman" w:eastAsia="DFKai-SB" w:hAnsi="Times New Roman" w:cs="Times New Roman"/>
          <w:u w:val="single"/>
          <w:lang w:val="fr-CH"/>
        </w:rPr>
        <w:t xml:space="preserve"> Fos2A-iCreERT2</w:t>
      </w:r>
    </w:p>
    <w:p w14:paraId="7A98C9FB" w14:textId="77777777" w:rsidR="00D84D61" w:rsidRPr="00B01EF0" w:rsidRDefault="00965DD2">
      <w:pPr>
        <w:widowControl/>
        <w:rPr>
          <w:rFonts w:ascii="Times New Roman" w:eastAsia="DFKai-SB" w:hAnsi="Times New Roman" w:cs="Times New Roman"/>
          <w:lang w:val="fr-CH"/>
        </w:rPr>
      </w:pPr>
      <w:r>
        <w:fldChar w:fldCharType="begin"/>
      </w:r>
      <w:r w:rsidRPr="00B01EF0">
        <w:rPr>
          <w:rFonts w:ascii="Times New Roman" w:hAnsi="Times New Roman"/>
          <w:lang w:val="fr-CH"/>
        </w:rPr>
        <w:instrText>ADDIN EN.CITE &lt;EndNote&gt;&lt;Cite&gt;&lt;Author&gt;DeNardo&lt;/Author&gt;&lt;Year&gt;2019&lt;/Year&gt;&lt;RecNum&gt;1250&lt;/RecNum&gt;&lt;DisplayText&gt;(DeNardo et al., 2019)&lt;/DisplayText&gt;&lt;record&gt;&lt;rec-number&gt;1250&lt;/rec-number&gt;&lt;foreign-keys&gt;&lt;key app="EN" db-id="dx2v59t2rptdfoetstlp20etzfwaeer5wtad" timestamp="1551800735" guid="981854ca-9c28-4014-896a-b764d19ee7b8"&gt;1250&lt;/key&gt;&lt;/foreign-keys&gt;&lt;ref-type name="Journal Article"&gt;17&lt;/ref-type&gt;&lt;contributors&gt;&lt;authors&gt;&lt;author&gt;DeNardo, Laura A.&lt;/author&gt;&lt;author&gt;Liu, Cindy D.&lt;/author&gt;&lt;author&gt;Allen, William E.&lt;/author&gt;&lt;author&gt;Adams, Eliza L.&lt;/author&gt;&lt;author&gt;Friedmann, Drew&lt;/author&gt;&lt;author&gt;Fu, Lisa&lt;/author&gt;&lt;author&gt;Guenthner, Casey J.&lt;/author&gt;&lt;author&gt;Tessier-Lavigne, Marc&lt;/author&gt;&lt;author&gt;Luo, Liqun&lt;/author&gt;&lt;/authors&gt;&lt;/contributors&gt;&lt;titles&gt;&lt;title&gt;Temporal evolution of cortical ensembles promoting remote memory retrieval&lt;/title&gt;&lt;secondary-title&gt;Nature Neuroscience&lt;/secondary-title&gt;&lt;/titles&gt;&lt;periodical&gt;&lt;full-title&gt;Nature Neuroscience&lt;/full-title&gt;&lt;/periodical&gt;&lt;pages&gt;460-469&lt;/pages&gt;&lt;volume&gt;22&lt;/volume&gt;&lt;number&gt;3&lt;/number&gt;&lt;keywords&gt;&lt;keyword&gt;iDISCO+&lt;/keyword&gt;&lt;keyword&gt;Brain-wide Map of Fear Memory Engram Circuit&lt;/keyword&gt;&lt;/keywords&gt;&lt;dates&gt;&lt;year&gt;2019&lt;/year&gt;&lt;pub-dates&gt;&lt;date&gt;2019/03/01&lt;/date&gt;&lt;/pub-dates&gt;&lt;/dates&gt;&lt;isbn&gt;1546-1726&lt;/isbn&gt;&lt;urls&gt;&lt;related-urls&gt;&lt;url&gt;https://doi.org/10.1038/s41593-018-0318-7&lt;/url&gt;&lt;url&gt;https://www.nature.com/articles/s41593-018-0318-7.pdf&lt;/url&gt;&lt;/related-urls&gt;&lt;/urls&gt;&lt;electronic-resource-num&gt;10.1038/s41593-018-0318-7&lt;/electronic-resource-num&gt;&lt;/record&gt;&lt;/Cite&gt;&lt;/EndNote&gt;</w:instrText>
      </w:r>
      <w:r>
        <w:rPr>
          <w:rFonts w:ascii="Times New Roman" w:hAnsi="Times New Roman"/>
        </w:rPr>
        <w:fldChar w:fldCharType="separate"/>
      </w:r>
      <w:r w:rsidRPr="00B01EF0">
        <w:rPr>
          <w:rFonts w:ascii="Times New Roman" w:eastAsia="DFKai-SB" w:hAnsi="Times New Roman" w:cs="Times New Roman"/>
          <w:lang w:val="fr-CH"/>
        </w:rPr>
        <w:t>(</w:t>
      </w:r>
      <w:proofErr w:type="spellStart"/>
      <w:r w:rsidRPr="00B01EF0">
        <w:rPr>
          <w:rFonts w:ascii="Times New Roman" w:eastAsia="DFKai-SB" w:hAnsi="Times New Roman" w:cs="Times New Roman"/>
          <w:lang w:val="fr-CH"/>
        </w:rPr>
        <w:t>DeNardo</w:t>
      </w:r>
      <w:proofErr w:type="spellEnd"/>
      <w:r w:rsidRPr="00B01EF0">
        <w:rPr>
          <w:rFonts w:ascii="Times New Roman" w:eastAsia="DFKai-SB" w:hAnsi="Times New Roman" w:cs="Times New Roman"/>
          <w:lang w:val="fr-CH"/>
        </w:rPr>
        <w:t xml:space="preserve"> et al., 2019)</w:t>
      </w:r>
      <w:r>
        <w:rPr>
          <w:rFonts w:ascii="Times New Roman" w:hAnsi="Times New Roman"/>
        </w:rPr>
        <w:fldChar w:fldCharType="end"/>
      </w:r>
    </w:p>
    <w:p w14:paraId="5289A0F6" w14:textId="77777777" w:rsidR="00D84D61" w:rsidRDefault="00965DD2">
      <w:pPr>
        <w:widowControl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lang w:val="en-GB"/>
        </w:rPr>
        <w:t xml:space="preserve">Reagents </w:t>
      </w:r>
    </w:p>
    <w:p w14:paraId="04F0E419" w14:textId="77777777" w:rsidR="00D84D61" w:rsidRDefault="00965DD2">
      <w:pPr>
        <w:widowControl/>
        <w:numPr>
          <w:ilvl w:val="0"/>
          <w:numId w:val="1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lang w:val="en-GB"/>
        </w:rPr>
        <w:t>4-hydroxytamoxifen 4-OHT, H6278, Sigma</w:t>
      </w:r>
    </w:p>
    <w:p w14:paraId="286B47AF" w14:textId="77777777" w:rsidR="00D84D61" w:rsidRDefault="00965DD2">
      <w:pPr>
        <w:widowControl/>
        <w:numPr>
          <w:ilvl w:val="0"/>
          <w:numId w:val="1"/>
        </w:numPr>
        <w:rPr>
          <w:rFonts w:ascii="Times New Roman" w:eastAsia="DFKai-SB" w:hAnsi="Times New Roman" w:cs="Times New Roman"/>
        </w:rPr>
      </w:pPr>
      <w:bookmarkStart w:id="0" w:name="_Hlk22042104"/>
      <w:r>
        <w:rPr>
          <w:rFonts w:ascii="Times New Roman" w:eastAsia="DFKai-SB" w:hAnsi="Times New Roman" w:cs="Times New Roman"/>
        </w:rPr>
        <w:t>Absolute EtOH</w:t>
      </w:r>
      <w:bookmarkEnd w:id="0"/>
      <w:r>
        <w:rPr>
          <w:rFonts w:ascii="Times New Roman" w:eastAsia="DFKai-SB" w:hAnsi="Times New Roman" w:cs="Times New Roman"/>
        </w:rPr>
        <w:t>, E/0650DF/15, Fisher Chemical</w:t>
      </w:r>
    </w:p>
    <w:p w14:paraId="36A9CBAF" w14:textId="77777777" w:rsidR="00D84D61" w:rsidRDefault="00965DD2">
      <w:pPr>
        <w:widowControl/>
        <w:numPr>
          <w:ilvl w:val="0"/>
          <w:numId w:val="1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shd w:val="clear" w:color="auto" w:fill="FFFF00"/>
          <w:lang w:val="en-GB"/>
        </w:rPr>
        <w:t>Corn oil, C8267-500ml, Sigma</w:t>
      </w:r>
    </w:p>
    <w:p w14:paraId="2AF7BA83" w14:textId="77777777" w:rsidR="00D84D61" w:rsidRDefault="00965DD2">
      <w:pPr>
        <w:widowControl/>
        <w:numPr>
          <w:ilvl w:val="1"/>
          <w:numId w:val="1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lang w:val="en-GB"/>
        </w:rPr>
        <w:t>KEEP OIL STERILE</w:t>
      </w:r>
    </w:p>
    <w:p w14:paraId="7CBB076E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Dissolve 4-OHT in absolute EtOH</w:t>
      </w:r>
      <w:r>
        <w:rPr>
          <w:rFonts w:ascii="Times New Roman" w:eastAsia="DFKai-SB" w:hAnsi="Times New Roman" w:cs="Times New Roman"/>
          <w:lang w:val="en-GB"/>
        </w:rPr>
        <w:t xml:space="preserve"> by shaking 15 min at 37°C till dissolve</w:t>
      </w:r>
    </w:p>
    <w:p w14:paraId="2E1910FB" w14:textId="77777777" w:rsidR="00D84D61" w:rsidRDefault="00965DD2">
      <w:pPr>
        <w:widowControl/>
        <w:ind w:left="36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lang w:val="en-GB"/>
        </w:rPr>
        <w:t>Concentration: 20mg/ml = 10mg/0.5ml</w:t>
      </w:r>
      <w:r>
        <w:rPr>
          <w:rFonts w:ascii="Times New Roman" w:eastAsia="DFKai-SB" w:hAnsi="Times New Roman" w:cs="Times New Roman"/>
          <w:lang w:val="en-GB"/>
        </w:rPr>
        <w:tab/>
        <w:t>= 50mg/2.5ml or 25mg/1.25 ml</w:t>
      </w:r>
    </w:p>
    <w:p w14:paraId="12AD3724" w14:textId="77777777" w:rsidR="00D84D61" w:rsidRDefault="00965DD2">
      <w:pPr>
        <w:widowControl/>
        <w:numPr>
          <w:ilvl w:val="1"/>
          <w:numId w:val="1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lang w:val="en-GB"/>
        </w:rPr>
        <w:t>Always wrap in aluminium foil: always seal from light</w:t>
      </w:r>
    </w:p>
    <w:p w14:paraId="1A291E45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lang w:val="en-GB"/>
        </w:rPr>
        <w:t>Aliquot (300ul); store at -20</w:t>
      </w:r>
      <w:r>
        <w:rPr>
          <w:rFonts w:ascii="Times New Roman" w:eastAsia="DFKai-SB" w:hAnsi="Times New Roman" w:cs="Times New Roman"/>
          <w:vertAlign w:val="superscript"/>
          <w:lang w:val="en-GB"/>
        </w:rPr>
        <w:t>o</w:t>
      </w:r>
      <w:r>
        <w:rPr>
          <w:rFonts w:ascii="Times New Roman" w:eastAsia="DFKai-SB" w:hAnsi="Times New Roman" w:cs="Times New Roman"/>
          <w:lang w:val="en-GB"/>
        </w:rPr>
        <w:t>C: up to weeks (in real life several months)</w:t>
      </w:r>
    </w:p>
    <w:p w14:paraId="367B0DC4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1 day before behavior test</w:t>
      </w:r>
    </w:p>
    <w:p w14:paraId="29CBE3BC" w14:textId="77777777" w:rsidR="00D84D61" w:rsidRDefault="00965DD2">
      <w:pPr>
        <w:widowControl/>
        <w:numPr>
          <w:ilvl w:val="0"/>
          <w:numId w:val="3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measure mouse weight; calculate 4-OHT </w:t>
      </w:r>
      <w:proofErr w:type="spellStart"/>
      <w:r>
        <w:rPr>
          <w:rFonts w:ascii="Times New Roman" w:eastAsia="DFKai-SB" w:hAnsi="Times New Roman" w:cs="Times New Roman"/>
        </w:rPr>
        <w:t>i.p.</w:t>
      </w:r>
      <w:proofErr w:type="spellEnd"/>
      <w:r>
        <w:rPr>
          <w:rFonts w:ascii="Times New Roman" w:eastAsia="DFKai-SB" w:hAnsi="Times New Roman" w:cs="Times New Roman"/>
        </w:rPr>
        <w:t xml:space="preserve"> volume</w:t>
      </w:r>
    </w:p>
    <w:p w14:paraId="0DEC5A5F" w14:textId="77777777" w:rsidR="00D84D61" w:rsidRDefault="00965DD2">
      <w:pPr>
        <w:widowControl/>
        <w:ind w:left="8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Critical pt.: always prepare in excess to avoid loss</w:t>
      </w:r>
    </w:p>
    <w:p w14:paraId="3F53B565" w14:textId="77777777" w:rsidR="00D84D61" w:rsidRDefault="00965DD2">
      <w:pPr>
        <w:widowControl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Redissolve 4-OHT in absolute EtOH by shaking for 15 min at 37°C till completely dissolved with thermomixer</w:t>
      </w:r>
    </w:p>
    <w:p w14:paraId="0962B717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Add 2x volume of Corn oil to dilute by half</w:t>
      </w:r>
    </w:p>
    <w:p w14:paraId="2B16A734" w14:textId="77777777" w:rsidR="00D84D61" w:rsidRDefault="00965DD2">
      <w:pPr>
        <w:widowControl/>
        <w:ind w:left="360"/>
        <w:rPr>
          <w:rFonts w:ascii="Times New Roman" w:eastAsia="DFKai-SB" w:hAnsi="Times New Roman" w:cs="Times New Roman"/>
          <w:lang w:val="en-GB"/>
        </w:rPr>
      </w:pPr>
      <w:r>
        <w:rPr>
          <w:rFonts w:ascii="Times New Roman" w:eastAsia="DFKai-SB" w:hAnsi="Times New Roman" w:cs="Times New Roman"/>
          <w:lang w:val="en-GB"/>
        </w:rPr>
        <w:t>EtOH is evaporated by vacuum under centrifugation – 15 mins, 45°C</w:t>
      </w:r>
    </w:p>
    <w:p w14:paraId="1F19320F" w14:textId="77777777" w:rsidR="00D84D61" w:rsidRDefault="00965DD2">
      <w:pPr>
        <w:widowControl/>
        <w:ind w:left="360"/>
        <w:rPr>
          <w:rFonts w:ascii="Times New Roman" w:eastAsia="DFKai-SB" w:hAnsi="Times New Roman" w:cs="Times New Roman"/>
          <w:lang w:val="en-GB"/>
        </w:rPr>
      </w:pPr>
      <w:r>
        <w:rPr>
          <w:rFonts w:ascii="Times New Roman" w:eastAsia="DFKai-SB" w:hAnsi="Times New Roman" w:cs="Times New Roman"/>
          <w:lang w:val="en-GB"/>
        </w:rPr>
        <w:t>till fully evaporate</w:t>
      </w:r>
    </w:p>
    <w:p w14:paraId="24A23DD2" w14:textId="77777777" w:rsidR="00D84D61" w:rsidRDefault="00965DD2">
      <w:pPr>
        <w:widowControl/>
        <w:ind w:left="360"/>
        <w:rPr>
          <w:rFonts w:ascii="Times New Roman" w:eastAsia="DFKai-SB" w:hAnsi="Times New Roman" w:cs="Times New Roman"/>
          <w:b/>
        </w:rPr>
      </w:pPr>
      <w:r>
        <w:rPr>
          <w:rFonts w:ascii="Times New Roman" w:eastAsia="DFKai-SB" w:hAnsi="Times New Roman" w:cs="Times New Roman"/>
          <w:b/>
        </w:rPr>
        <w:t>Final concentration: 10mg/ml, must be used fresh</w:t>
      </w:r>
    </w:p>
    <w:p w14:paraId="7F2A68FE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Prepare </w:t>
      </w:r>
      <w:proofErr w:type="spellStart"/>
      <w:r>
        <w:rPr>
          <w:rFonts w:ascii="Times New Roman" w:eastAsia="DFKai-SB" w:hAnsi="Times New Roman" w:cs="Times New Roman"/>
        </w:rPr>
        <w:t>i.p</w:t>
      </w:r>
      <w:proofErr w:type="spellEnd"/>
      <w:r>
        <w:rPr>
          <w:rFonts w:ascii="Times New Roman" w:eastAsia="DFKai-SB" w:hAnsi="Times New Roman" w:cs="Times New Roman"/>
        </w:rPr>
        <w:t xml:space="preserve"> injection volume in tube;</w:t>
      </w:r>
    </w:p>
    <w:p w14:paraId="190AD1F6" w14:textId="77777777" w:rsidR="00D84D61" w:rsidRDefault="00965DD2">
      <w:pPr>
        <w:widowControl/>
        <w:ind w:left="36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Keep </w:t>
      </w:r>
      <w:proofErr w:type="spellStart"/>
      <w:r>
        <w:rPr>
          <w:rFonts w:ascii="Times New Roman" w:eastAsia="DFKai-SB" w:hAnsi="Times New Roman" w:cs="Times New Roman"/>
        </w:rPr>
        <w:t>i.p</w:t>
      </w:r>
      <w:proofErr w:type="spellEnd"/>
      <w:r>
        <w:rPr>
          <w:rFonts w:ascii="Times New Roman" w:eastAsia="DFKai-SB" w:hAnsi="Times New Roman" w:cs="Times New Roman"/>
        </w:rPr>
        <w:t xml:space="preserve"> volume on 37 thermal block to avoid 4-OHT precipitation at R.T.</w:t>
      </w:r>
    </w:p>
    <w:p w14:paraId="4F257D3E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Bring mice from SPF (&gt;5 days in advance), and in experimental room 30 min in advance</w:t>
      </w:r>
    </w:p>
    <w:p w14:paraId="6C429A2C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proofErr w:type="spellStart"/>
      <w:r>
        <w:rPr>
          <w:rFonts w:ascii="Times New Roman" w:eastAsia="DFKai-SB" w:hAnsi="Times New Roman" w:cs="Times New Roman"/>
        </w:rPr>
        <w:t>Behaviour</w:t>
      </w:r>
      <w:proofErr w:type="spellEnd"/>
      <w:r>
        <w:rPr>
          <w:rFonts w:ascii="Times New Roman" w:eastAsia="DFKai-SB" w:hAnsi="Times New Roman" w:cs="Times New Roman"/>
        </w:rPr>
        <w:t xml:space="preserve"> Test</w:t>
      </w:r>
    </w:p>
    <w:p w14:paraId="52218457" w14:textId="77777777" w:rsidR="00D84D61" w:rsidRDefault="00965DD2">
      <w:pPr>
        <w:widowControl/>
        <w:numPr>
          <w:ilvl w:val="0"/>
          <w:numId w:val="2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Immediate </w:t>
      </w:r>
      <w:proofErr w:type="spellStart"/>
      <w:r>
        <w:rPr>
          <w:rFonts w:ascii="Times New Roman" w:eastAsia="DFKai-SB" w:hAnsi="Times New Roman" w:cs="Times New Roman"/>
        </w:rPr>
        <w:t>i.p</w:t>
      </w:r>
      <w:proofErr w:type="spellEnd"/>
      <w:r>
        <w:rPr>
          <w:rFonts w:ascii="Times New Roman" w:eastAsia="DFKai-SB" w:hAnsi="Times New Roman" w:cs="Times New Roman"/>
        </w:rPr>
        <w:t xml:space="preserve"> injection of </w:t>
      </w:r>
      <w:r>
        <w:rPr>
          <w:rFonts w:ascii="Times New Roman" w:eastAsia="DFKai-SB" w:hAnsi="Times New Roman" w:cs="Times New Roman"/>
          <w:lang w:val="en-GB"/>
        </w:rPr>
        <w:t>50 mg kg</w:t>
      </w:r>
      <w:r>
        <w:rPr>
          <w:rFonts w:ascii="Times New Roman" w:eastAsia="DFKai-SB" w:hAnsi="Times New Roman" w:cs="Times New Roman"/>
          <w:vertAlign w:val="superscript"/>
          <w:lang w:val="en-GB"/>
        </w:rPr>
        <w:t>–1</w:t>
      </w:r>
      <w:r>
        <w:rPr>
          <w:rFonts w:ascii="Times New Roman" w:eastAsia="DFKai-SB" w:hAnsi="Times New Roman" w:cs="Times New Roman"/>
          <w:lang w:val="en-GB"/>
        </w:rPr>
        <w:t>=0.05mg g</w:t>
      </w:r>
      <w:r>
        <w:rPr>
          <w:rFonts w:ascii="Times New Roman" w:eastAsia="DFKai-SB" w:hAnsi="Times New Roman" w:cs="Times New Roman"/>
          <w:vertAlign w:val="superscript"/>
          <w:lang w:val="en-GB"/>
        </w:rPr>
        <w:t>-1</w:t>
      </w:r>
      <w:r>
        <w:rPr>
          <w:rFonts w:ascii="Times New Roman" w:eastAsia="DFKai-SB" w:hAnsi="Times New Roman" w:cs="Times New Roman"/>
          <w:lang w:val="en-GB"/>
        </w:rPr>
        <w:t xml:space="preserve"> 4-OHT</w:t>
      </w:r>
    </w:p>
    <w:p w14:paraId="6ADEEF45" w14:textId="77777777" w:rsidR="00D84D61" w:rsidRDefault="00965DD2">
      <w:pPr>
        <w:widowControl/>
        <w:ind w:left="360"/>
        <w:rPr>
          <w:rFonts w:ascii="Times New Roman" w:eastAsia="DFKai-SB" w:hAnsi="Times New Roman" w:cs="Times New Roman"/>
        </w:rPr>
      </w:pPr>
      <w:proofErr w:type="gramStart"/>
      <w:r>
        <w:rPr>
          <w:rFonts w:ascii="Times New Roman" w:eastAsia="DFKai-SB" w:hAnsi="Times New Roman" w:cs="Times New Roman"/>
        </w:rPr>
        <w:t>e.g.</w:t>
      </w:r>
      <w:proofErr w:type="gramEnd"/>
      <w:r>
        <w:rPr>
          <w:rFonts w:ascii="Times New Roman" w:eastAsia="DFKai-SB" w:hAnsi="Times New Roman" w:cs="Times New Roman"/>
        </w:rPr>
        <w:t xml:space="preserve"> for 30g mouse, (0.05x30)/10 = 0.15ml = 150ul</w:t>
      </w:r>
    </w:p>
    <w:p w14:paraId="058E18F7" w14:textId="02D118D8" w:rsidR="00D84D61" w:rsidRDefault="00965DD2">
      <w:pPr>
        <w:widowControl/>
        <w:ind w:left="360"/>
        <w:rPr>
          <w:rFonts w:ascii="Times New Roman" w:eastAsia="DFKai-SB" w:hAnsi="Times New Roman" w:cs="Times New Roman"/>
        </w:rPr>
      </w:pPr>
      <w:proofErr w:type="spellStart"/>
      <w:r>
        <w:rPr>
          <w:rFonts w:ascii="Times New Roman" w:eastAsia="DFKai-SB" w:hAnsi="Times New Roman" w:cs="Times New Roman"/>
        </w:rPr>
        <w:t>Crtiical</w:t>
      </w:r>
      <w:proofErr w:type="spellEnd"/>
      <w:r>
        <w:rPr>
          <w:rFonts w:ascii="Times New Roman" w:eastAsia="DFKai-SB" w:hAnsi="Times New Roman" w:cs="Times New Roman"/>
        </w:rPr>
        <w:t xml:space="preserve"> pt.- </w:t>
      </w:r>
      <w:r>
        <w:rPr>
          <w:rFonts w:ascii="Times New Roman" w:eastAsia="DFKai-SB" w:hAnsi="Times New Roman" w:cs="Times New Roman"/>
          <w:lang w:val="en-GB"/>
        </w:rPr>
        <w:t xml:space="preserve">4-OHT </w:t>
      </w:r>
      <w:proofErr w:type="spellStart"/>
      <w:r>
        <w:rPr>
          <w:rFonts w:ascii="Times New Roman" w:eastAsia="DFKai-SB" w:hAnsi="Times New Roman" w:cs="Times New Roman"/>
          <w:lang w:val="en-GB"/>
        </w:rPr>
        <w:t>i.p</w:t>
      </w:r>
      <w:proofErr w:type="spellEnd"/>
      <w:r>
        <w:rPr>
          <w:rFonts w:ascii="Times New Roman" w:eastAsia="DFKai-SB" w:hAnsi="Times New Roman" w:cs="Times New Roman"/>
        </w:rPr>
        <w:t xml:space="preserve"> amount must be very precise; to minimize excess usage – use insulin syringes (BD Microfine+ 0.5ml 324825)</w:t>
      </w:r>
    </w:p>
    <w:p w14:paraId="2AB2CB25" w14:textId="700D2BE2" w:rsidR="00B92F1A" w:rsidRDefault="00B92F1A">
      <w:pPr>
        <w:widowControl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919"/>
      </w:tblGrid>
      <w:tr w:rsidR="00965DD2" w14:paraId="578CD93A" w14:textId="77777777" w:rsidTr="00965DD2">
        <w:trPr>
          <w:trHeight w:val="377"/>
          <w:jc w:val="center"/>
        </w:trPr>
        <w:tc>
          <w:tcPr>
            <w:tcW w:w="1733" w:type="dxa"/>
          </w:tcPr>
          <w:p w14:paraId="77B10C52" w14:textId="094A628A" w:rsidR="00965DD2" w:rsidRPr="00965DD2" w:rsidRDefault="00965DD2" w:rsidP="00B92F1A">
            <w:pPr>
              <w:jc w:val="center"/>
              <w:rPr>
                <w:sz w:val="32"/>
                <w:szCs w:val="32"/>
              </w:rPr>
            </w:pPr>
            <w:r w:rsidRPr="00965DD2">
              <w:rPr>
                <w:sz w:val="32"/>
                <w:szCs w:val="32"/>
              </w:rPr>
              <w:lastRenderedPageBreak/>
              <w:t>Mouse weight (g)</w:t>
            </w:r>
          </w:p>
        </w:tc>
        <w:tc>
          <w:tcPr>
            <w:tcW w:w="1919" w:type="dxa"/>
          </w:tcPr>
          <w:p w14:paraId="5E32A265" w14:textId="4C280942" w:rsidR="00965DD2" w:rsidRPr="00965DD2" w:rsidRDefault="00965DD2" w:rsidP="00B92F1A">
            <w:pPr>
              <w:jc w:val="center"/>
              <w:rPr>
                <w:sz w:val="32"/>
                <w:szCs w:val="32"/>
              </w:rPr>
            </w:pPr>
            <w:r w:rsidRPr="00965DD2">
              <w:rPr>
                <w:rFonts w:ascii="Times New Roman" w:eastAsia="DFKai-SB" w:hAnsi="Times New Roman" w:cs="Times New Roman"/>
                <w:sz w:val="32"/>
                <w:szCs w:val="32"/>
                <w:lang w:val="en-GB"/>
              </w:rPr>
              <w:t>4-OHT solution volume (µl)</w:t>
            </w:r>
          </w:p>
        </w:tc>
      </w:tr>
      <w:tr w:rsidR="00965DD2" w:rsidRPr="00B92F1A" w14:paraId="0774B31D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07CFAFFD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16</w:t>
            </w:r>
          </w:p>
        </w:tc>
        <w:tc>
          <w:tcPr>
            <w:tcW w:w="1919" w:type="dxa"/>
            <w:noWrap/>
            <w:hideMark/>
          </w:tcPr>
          <w:p w14:paraId="459F3302" w14:textId="6625FFDA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80</w:t>
            </w:r>
          </w:p>
        </w:tc>
      </w:tr>
      <w:tr w:rsidR="00965DD2" w:rsidRPr="00B92F1A" w14:paraId="71A0166F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23081BC8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17</w:t>
            </w:r>
          </w:p>
        </w:tc>
        <w:tc>
          <w:tcPr>
            <w:tcW w:w="1919" w:type="dxa"/>
            <w:noWrap/>
            <w:hideMark/>
          </w:tcPr>
          <w:p w14:paraId="091E7CA2" w14:textId="400BA052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85</w:t>
            </w:r>
          </w:p>
        </w:tc>
      </w:tr>
      <w:tr w:rsidR="00965DD2" w:rsidRPr="00B92F1A" w14:paraId="7F9536B4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25899A62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18</w:t>
            </w:r>
          </w:p>
        </w:tc>
        <w:tc>
          <w:tcPr>
            <w:tcW w:w="1919" w:type="dxa"/>
            <w:noWrap/>
            <w:hideMark/>
          </w:tcPr>
          <w:p w14:paraId="2AF47765" w14:textId="69F628F9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90</w:t>
            </w:r>
          </w:p>
        </w:tc>
      </w:tr>
      <w:tr w:rsidR="00965DD2" w:rsidRPr="00B92F1A" w14:paraId="684CFEE5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1A608F81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19</w:t>
            </w:r>
          </w:p>
        </w:tc>
        <w:tc>
          <w:tcPr>
            <w:tcW w:w="1919" w:type="dxa"/>
            <w:noWrap/>
            <w:hideMark/>
          </w:tcPr>
          <w:p w14:paraId="056E01F0" w14:textId="36BC43DD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95</w:t>
            </w:r>
          </w:p>
        </w:tc>
      </w:tr>
      <w:tr w:rsidR="00965DD2" w:rsidRPr="00B92F1A" w14:paraId="54E88A32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6CDB858F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20</w:t>
            </w:r>
          </w:p>
        </w:tc>
        <w:tc>
          <w:tcPr>
            <w:tcW w:w="1919" w:type="dxa"/>
            <w:noWrap/>
            <w:hideMark/>
          </w:tcPr>
          <w:p w14:paraId="3C9FAE25" w14:textId="43188212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100</w:t>
            </w:r>
          </w:p>
        </w:tc>
      </w:tr>
      <w:tr w:rsidR="00965DD2" w:rsidRPr="00B92F1A" w14:paraId="246915DA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780A8850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21</w:t>
            </w:r>
          </w:p>
        </w:tc>
        <w:tc>
          <w:tcPr>
            <w:tcW w:w="1919" w:type="dxa"/>
            <w:noWrap/>
            <w:hideMark/>
          </w:tcPr>
          <w:p w14:paraId="471C5155" w14:textId="03BE3D89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105</w:t>
            </w:r>
          </w:p>
        </w:tc>
      </w:tr>
      <w:tr w:rsidR="00965DD2" w:rsidRPr="00B92F1A" w14:paraId="65EDDF56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6E781C37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22</w:t>
            </w:r>
          </w:p>
        </w:tc>
        <w:tc>
          <w:tcPr>
            <w:tcW w:w="1919" w:type="dxa"/>
            <w:noWrap/>
            <w:hideMark/>
          </w:tcPr>
          <w:p w14:paraId="10DF69E3" w14:textId="48A5755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110</w:t>
            </w:r>
          </w:p>
        </w:tc>
      </w:tr>
      <w:tr w:rsidR="00965DD2" w:rsidRPr="00B92F1A" w14:paraId="789BDADE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719DD715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23</w:t>
            </w:r>
          </w:p>
        </w:tc>
        <w:tc>
          <w:tcPr>
            <w:tcW w:w="1919" w:type="dxa"/>
            <w:noWrap/>
            <w:hideMark/>
          </w:tcPr>
          <w:p w14:paraId="4F512F99" w14:textId="44F1D892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115</w:t>
            </w:r>
          </w:p>
        </w:tc>
      </w:tr>
      <w:tr w:rsidR="00965DD2" w:rsidRPr="00B92F1A" w14:paraId="1EAAC0EE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0E287222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24</w:t>
            </w:r>
          </w:p>
        </w:tc>
        <w:tc>
          <w:tcPr>
            <w:tcW w:w="1919" w:type="dxa"/>
            <w:noWrap/>
            <w:hideMark/>
          </w:tcPr>
          <w:p w14:paraId="40AF4304" w14:textId="7785D398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120</w:t>
            </w:r>
          </w:p>
        </w:tc>
      </w:tr>
      <w:tr w:rsidR="00965DD2" w:rsidRPr="00B92F1A" w14:paraId="011B9DB9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17B82116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25</w:t>
            </w:r>
          </w:p>
        </w:tc>
        <w:tc>
          <w:tcPr>
            <w:tcW w:w="1919" w:type="dxa"/>
            <w:noWrap/>
            <w:hideMark/>
          </w:tcPr>
          <w:p w14:paraId="0DDA0C6E" w14:textId="55FC13F3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125</w:t>
            </w:r>
          </w:p>
        </w:tc>
      </w:tr>
      <w:tr w:rsidR="00965DD2" w:rsidRPr="00B92F1A" w14:paraId="32B2F1C4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1B7E79CE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26</w:t>
            </w:r>
          </w:p>
        </w:tc>
        <w:tc>
          <w:tcPr>
            <w:tcW w:w="1919" w:type="dxa"/>
            <w:noWrap/>
            <w:hideMark/>
          </w:tcPr>
          <w:p w14:paraId="5E13A522" w14:textId="1757002F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130</w:t>
            </w:r>
          </w:p>
        </w:tc>
      </w:tr>
      <w:tr w:rsidR="00965DD2" w:rsidRPr="00B92F1A" w14:paraId="2CE4AE0D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15F1B749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27</w:t>
            </w:r>
          </w:p>
        </w:tc>
        <w:tc>
          <w:tcPr>
            <w:tcW w:w="1919" w:type="dxa"/>
            <w:noWrap/>
            <w:hideMark/>
          </w:tcPr>
          <w:p w14:paraId="75111F24" w14:textId="6EFECB50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135</w:t>
            </w:r>
          </w:p>
        </w:tc>
      </w:tr>
      <w:tr w:rsidR="00965DD2" w:rsidRPr="00B92F1A" w14:paraId="6B68E49E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5BF5F9DE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28</w:t>
            </w:r>
          </w:p>
        </w:tc>
        <w:tc>
          <w:tcPr>
            <w:tcW w:w="1919" w:type="dxa"/>
            <w:noWrap/>
            <w:hideMark/>
          </w:tcPr>
          <w:p w14:paraId="067FAEFD" w14:textId="5DFBE19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140</w:t>
            </w:r>
          </w:p>
        </w:tc>
      </w:tr>
      <w:tr w:rsidR="00965DD2" w:rsidRPr="00B92F1A" w14:paraId="2987C32C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321770E5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29</w:t>
            </w:r>
          </w:p>
        </w:tc>
        <w:tc>
          <w:tcPr>
            <w:tcW w:w="1919" w:type="dxa"/>
            <w:noWrap/>
            <w:hideMark/>
          </w:tcPr>
          <w:p w14:paraId="4852BF75" w14:textId="5A6C14CF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145</w:t>
            </w:r>
          </w:p>
        </w:tc>
      </w:tr>
      <w:tr w:rsidR="00965DD2" w:rsidRPr="00B92F1A" w14:paraId="1FE3C071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58573664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30</w:t>
            </w:r>
          </w:p>
        </w:tc>
        <w:tc>
          <w:tcPr>
            <w:tcW w:w="1919" w:type="dxa"/>
            <w:noWrap/>
            <w:hideMark/>
          </w:tcPr>
          <w:p w14:paraId="24CE7824" w14:textId="3408592D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150</w:t>
            </w:r>
          </w:p>
        </w:tc>
      </w:tr>
      <w:tr w:rsidR="00965DD2" w:rsidRPr="00B92F1A" w14:paraId="3FCB096F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7F5A6DD6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31</w:t>
            </w:r>
          </w:p>
        </w:tc>
        <w:tc>
          <w:tcPr>
            <w:tcW w:w="1919" w:type="dxa"/>
            <w:noWrap/>
            <w:hideMark/>
          </w:tcPr>
          <w:p w14:paraId="4B34B330" w14:textId="41B24264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155</w:t>
            </w:r>
          </w:p>
        </w:tc>
      </w:tr>
      <w:tr w:rsidR="00965DD2" w:rsidRPr="00B92F1A" w14:paraId="1AC41723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6B35CEB9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32</w:t>
            </w:r>
          </w:p>
        </w:tc>
        <w:tc>
          <w:tcPr>
            <w:tcW w:w="1919" w:type="dxa"/>
            <w:noWrap/>
            <w:hideMark/>
          </w:tcPr>
          <w:p w14:paraId="0A488286" w14:textId="0267A186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160</w:t>
            </w:r>
          </w:p>
        </w:tc>
      </w:tr>
      <w:tr w:rsidR="00965DD2" w:rsidRPr="00B92F1A" w14:paraId="40203F3B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6FB865FD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33</w:t>
            </w:r>
          </w:p>
        </w:tc>
        <w:tc>
          <w:tcPr>
            <w:tcW w:w="1919" w:type="dxa"/>
            <w:noWrap/>
            <w:hideMark/>
          </w:tcPr>
          <w:p w14:paraId="102D97AB" w14:textId="56C66E23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165</w:t>
            </w:r>
          </w:p>
        </w:tc>
      </w:tr>
      <w:tr w:rsidR="00965DD2" w:rsidRPr="00B92F1A" w14:paraId="2B7E399B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3026988B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34</w:t>
            </w:r>
          </w:p>
        </w:tc>
        <w:tc>
          <w:tcPr>
            <w:tcW w:w="1919" w:type="dxa"/>
            <w:noWrap/>
            <w:hideMark/>
          </w:tcPr>
          <w:p w14:paraId="53B6EBBB" w14:textId="552CF96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170</w:t>
            </w:r>
          </w:p>
        </w:tc>
      </w:tr>
      <w:tr w:rsidR="00965DD2" w:rsidRPr="00B92F1A" w14:paraId="724F8779" w14:textId="77777777" w:rsidTr="00965DD2">
        <w:trPr>
          <w:trHeight w:val="300"/>
          <w:jc w:val="center"/>
        </w:trPr>
        <w:tc>
          <w:tcPr>
            <w:tcW w:w="1733" w:type="dxa"/>
            <w:noWrap/>
            <w:hideMark/>
          </w:tcPr>
          <w:p w14:paraId="2474AC87" w14:textId="77777777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35</w:t>
            </w:r>
          </w:p>
        </w:tc>
        <w:tc>
          <w:tcPr>
            <w:tcW w:w="1919" w:type="dxa"/>
            <w:noWrap/>
            <w:hideMark/>
          </w:tcPr>
          <w:p w14:paraId="2B0B79E1" w14:textId="016366A5" w:rsidR="00965DD2" w:rsidRPr="00B92F1A" w:rsidRDefault="00965DD2" w:rsidP="00B92F1A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</w:pPr>
            <w:r w:rsidRPr="00B92F1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</w:rPr>
              <w:t>175</w:t>
            </w:r>
          </w:p>
        </w:tc>
      </w:tr>
    </w:tbl>
    <w:p w14:paraId="3760689D" w14:textId="11378DC4" w:rsidR="00D84D61" w:rsidRDefault="00D84D61"/>
    <w:sectPr w:rsidR="00D84D61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0000000000000000000"/>
    <w:charset w:val="88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94D"/>
    <w:multiLevelType w:val="multilevel"/>
    <w:tmpl w:val="87B8377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1D353F27"/>
    <w:multiLevelType w:val="multilevel"/>
    <w:tmpl w:val="0044AB04"/>
    <w:lvl w:ilvl="0">
      <w:start w:val="1"/>
      <w:numFmt w:val="bullet"/>
      <w:lvlText w:val=""/>
      <w:lvlJc w:val="left"/>
      <w:pPr>
        <w:tabs>
          <w:tab w:val="num" w:pos="0"/>
        </w:tabs>
        <w:ind w:left="84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8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31B81A49"/>
    <w:multiLevelType w:val="multilevel"/>
    <w:tmpl w:val="35E4C3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5BA1B2C"/>
    <w:multiLevelType w:val="multilevel"/>
    <w:tmpl w:val="48205624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D61"/>
    <w:rsid w:val="00321653"/>
    <w:rsid w:val="003D0D71"/>
    <w:rsid w:val="00965DD2"/>
    <w:rsid w:val="00B01EF0"/>
    <w:rsid w:val="00B92F1A"/>
    <w:rsid w:val="00C35269"/>
    <w:rsid w:val="00D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981C"/>
  <w15:docId w15:val="{DEA30B5F-9F5D-4266-8AF1-BF6F90FD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頁首 字元"/>
    <w:basedOn w:val="DefaultParagraphFont"/>
    <w:uiPriority w:val="99"/>
    <w:qFormat/>
    <w:rsid w:val="008A03F8"/>
    <w:rPr>
      <w:sz w:val="20"/>
      <w:szCs w:val="20"/>
    </w:rPr>
  </w:style>
  <w:style w:type="character" w:customStyle="1" w:styleId="a0">
    <w:name w:val="頁尾 字元"/>
    <w:basedOn w:val="DefaultParagraphFont"/>
    <w:uiPriority w:val="99"/>
    <w:qFormat/>
    <w:rsid w:val="008A03F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03F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A03F8"/>
    <w:rPr>
      <w:sz w:val="18"/>
      <w:szCs w:val="18"/>
    </w:rPr>
  </w:style>
  <w:style w:type="character" w:customStyle="1" w:styleId="a1">
    <w:name w:val="註解文字 字元"/>
    <w:basedOn w:val="DefaultParagraphFont"/>
    <w:uiPriority w:val="99"/>
    <w:qFormat/>
    <w:rsid w:val="008A03F8"/>
    <w:rPr>
      <w:rFonts w:ascii="Times New Roman" w:eastAsia="DFKai-SB" w:hAnsi="Times New Roman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A0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8A0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CommentText">
    <w:name w:val="annotation text"/>
    <w:basedOn w:val="Normal"/>
    <w:uiPriority w:val="99"/>
    <w:unhideWhenUsed/>
    <w:qFormat/>
    <w:rsid w:val="008A03F8"/>
    <w:pPr>
      <w:widowControl/>
    </w:pPr>
    <w:rPr>
      <w:rFonts w:ascii="Times New Roman" w:eastAsia="DFKai-SB" w:hAnsi="Times New Roman"/>
      <w:lang w:val="en-GB"/>
    </w:rPr>
  </w:style>
  <w:style w:type="paragraph" w:styleId="ListParagraph">
    <w:name w:val="List Paragraph"/>
    <w:basedOn w:val="Normal"/>
    <w:uiPriority w:val="34"/>
    <w:qFormat/>
    <w:rsid w:val="008A03F8"/>
    <w:pPr>
      <w:widowControl/>
      <w:ind w:left="480"/>
    </w:pPr>
    <w:rPr>
      <w:rFonts w:ascii="Times New Roman" w:eastAsia="DFKai-SB" w:hAnsi="Times New Roman"/>
      <w:lang w:val="en-GB"/>
    </w:rPr>
  </w:style>
  <w:style w:type="table" w:styleId="TableGrid">
    <w:name w:val="Table Grid"/>
    <w:basedOn w:val="TableNormal"/>
    <w:uiPriority w:val="39"/>
    <w:rsid w:val="00321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 - Ecole Polytechnique Federale de Lausanne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Raven</dc:creator>
  <dc:description/>
  <cp:lastModifiedBy>Renard Anthony Pierre Robert</cp:lastModifiedBy>
  <cp:revision>42</cp:revision>
  <dcterms:created xsi:type="dcterms:W3CDTF">2021-07-19T00:32:00Z</dcterms:created>
  <dcterms:modified xsi:type="dcterms:W3CDTF">2022-10-21T13:41:00Z</dcterms:modified>
  <dc:language>en-US</dc:language>
</cp:coreProperties>
</file>