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304" w:rsidRPr="00D5347B" w:rsidRDefault="00D5347B" w:rsidP="00D5347B">
      <w:pPr>
        <w:jc w:val="center"/>
        <w:rPr>
          <w:b/>
          <w:sz w:val="40"/>
          <w:szCs w:val="40"/>
        </w:rPr>
      </w:pPr>
      <w:r w:rsidRPr="00D5347B">
        <w:rPr>
          <w:b/>
          <w:sz w:val="40"/>
          <w:szCs w:val="40"/>
        </w:rPr>
        <w:t>Normas das instalações elétricas residenciais</w:t>
      </w:r>
    </w:p>
    <w:p w:rsidR="00D5347B" w:rsidRDefault="00D5347B"/>
    <w:p w:rsidR="00D5347B" w:rsidRPr="00D5347B" w:rsidRDefault="00D5347B" w:rsidP="00D5347B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Perímetro</w:t>
      </w:r>
      <w:r w:rsidRPr="00D5347B">
        <w:rPr>
          <w:rFonts w:ascii="Arial" w:eastAsia="Times New Roman" w:hAnsi="Arial" w:cs="Arial"/>
          <w:bCs/>
          <w:sz w:val="24"/>
          <w:szCs w:val="24"/>
        </w:rPr>
        <w:t xml:space="preserve"> é a soma de todos os lados (paredes) do cômodo</w:t>
      </w:r>
      <w:r w:rsidRPr="00D5347B">
        <w:rPr>
          <w:rFonts w:ascii="Arial" w:eastAsia="Times New Roman" w:hAnsi="Arial" w:cs="Arial"/>
          <w:sz w:val="24"/>
          <w:szCs w:val="24"/>
        </w:rPr>
        <w:t xml:space="preserve">, medido em </w:t>
      </w:r>
      <w:r w:rsidRPr="00D5347B">
        <w:rPr>
          <w:rFonts w:ascii="Arial" w:eastAsia="Times New Roman" w:hAnsi="Arial" w:cs="Arial"/>
          <w:bCs/>
          <w:sz w:val="24"/>
          <w:szCs w:val="24"/>
        </w:rPr>
        <w:t>metros lineares (m)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p w:rsidR="00D5347B" w:rsidRPr="00D5347B" w:rsidRDefault="00D5347B" w:rsidP="00D5347B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No contexto da norma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NBR 5410</w:t>
      </w:r>
      <w:r w:rsidRPr="00D5347B">
        <w:rPr>
          <w:rFonts w:ascii="Arial" w:eastAsia="Times New Roman" w:hAnsi="Arial" w:cs="Arial"/>
          <w:sz w:val="24"/>
          <w:szCs w:val="24"/>
        </w:rPr>
        <w:t xml:space="preserve">, enquanto a Área determina a potência da iluminação, o Perímetro é o dado fundamental para definir a </w:t>
      </w:r>
      <w:r w:rsidRPr="00D5347B">
        <w:rPr>
          <w:rFonts w:ascii="Arial" w:eastAsia="Times New Roman" w:hAnsi="Arial" w:cs="Arial"/>
          <w:bCs/>
          <w:sz w:val="24"/>
          <w:szCs w:val="24"/>
        </w:rPr>
        <w:t>quantidade mínima de tomadas de uso geral (</w:t>
      </w:r>
      <w:proofErr w:type="spellStart"/>
      <w:r w:rsidRPr="00D5347B">
        <w:rPr>
          <w:rFonts w:ascii="Arial" w:eastAsia="Times New Roman" w:hAnsi="Arial" w:cs="Arial"/>
          <w:bCs/>
          <w:sz w:val="24"/>
          <w:szCs w:val="24"/>
        </w:rPr>
        <w:t>TUGs</w:t>
      </w:r>
      <w:proofErr w:type="spellEnd"/>
      <w:r w:rsidRPr="00D5347B">
        <w:rPr>
          <w:rFonts w:ascii="Arial" w:eastAsia="Times New Roman" w:hAnsi="Arial" w:cs="Arial"/>
          <w:bCs/>
          <w:sz w:val="24"/>
          <w:szCs w:val="24"/>
        </w:rPr>
        <w:t>)</w:t>
      </w:r>
      <w:r w:rsidRPr="00D5347B">
        <w:rPr>
          <w:rFonts w:ascii="Arial" w:eastAsia="Times New Roman" w:hAnsi="Arial" w:cs="Arial"/>
          <w:sz w:val="24"/>
          <w:szCs w:val="24"/>
        </w:rPr>
        <w:t xml:space="preserve"> que aquele espaço é obrigado a ter por segurança.</w:t>
      </w:r>
    </w:p>
    <w:p w:rsidR="00D5347B" w:rsidRPr="00D5347B" w:rsidRDefault="00D5347B" w:rsidP="00D5347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D5347B">
        <w:rPr>
          <w:rFonts w:ascii="Arial" w:eastAsia="Times New Roman" w:hAnsi="Arial" w:cs="Arial"/>
          <w:b/>
          <w:bCs/>
          <w:sz w:val="30"/>
          <w:szCs w:val="30"/>
        </w:rPr>
        <w:t>Exemplos Práticos de Cálculo de Perímetro</w:t>
      </w:r>
    </w:p>
    <w:p w:rsidR="00D5347B" w:rsidRPr="00D5347B" w:rsidRDefault="00D5347B" w:rsidP="00A77A2C">
      <w:p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>Para descobrir o perímetro de um cômodo retangular ou quadrado, basta somar a largura de todas as paredes:</w:t>
      </w:r>
    </w:p>
    <w:p w:rsidR="00D5347B" w:rsidRPr="00D5347B" w:rsidRDefault="00D5347B" w:rsidP="00A77A2C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Exemplo 1: Quarto Comum (3 metros de largura por 4 metros de comprimento)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Soma das paredes: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>3 + 4 + 3 + 4 = 14\text{ metros}\).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O perímetro a ser digitado no app é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14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A77A2C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Exemplo 2: Sala Quadrada (4 metros de largura por 4 metros de comprimento)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Soma das paredes: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>4 + 4 + 4 + 4 = 16\text{ metros}\).</w:t>
      </w:r>
    </w:p>
    <w:p w:rsidR="00D5347B" w:rsidRPr="00D5347B" w:rsidRDefault="00D5347B" w:rsidP="00D5347B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 xml:space="preserve">O perímetro a ser digitado no app é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16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963677" w:rsidP="00D534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5347B" w:rsidRPr="00D5347B" w:rsidRDefault="00D5347B" w:rsidP="00D5347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D5347B">
        <w:rPr>
          <w:rFonts w:ascii="Segoe UI Symbol" w:eastAsia="Times New Roman" w:hAnsi="Segoe UI Symbol" w:cs="Segoe UI Symbol"/>
          <w:b/>
          <w:bCs/>
          <w:sz w:val="30"/>
          <w:szCs w:val="30"/>
          <w:lang w:val="en-US"/>
        </w:rPr>
        <w:t>🔌</w:t>
      </w:r>
      <w:r w:rsidRPr="00D5347B">
        <w:rPr>
          <w:rFonts w:ascii="Arial" w:eastAsia="Times New Roman" w:hAnsi="Arial" w:cs="Arial"/>
          <w:b/>
          <w:bCs/>
          <w:sz w:val="30"/>
          <w:szCs w:val="30"/>
        </w:rPr>
        <w:t xml:space="preserve"> Por que a NBR 5410 </w:t>
      </w:r>
      <w:proofErr w:type="gramStart"/>
      <w:r w:rsidRPr="00D5347B">
        <w:rPr>
          <w:rFonts w:ascii="Arial" w:eastAsia="Times New Roman" w:hAnsi="Arial" w:cs="Arial"/>
          <w:b/>
          <w:bCs/>
          <w:sz w:val="30"/>
          <w:szCs w:val="30"/>
        </w:rPr>
        <w:t>usa</w:t>
      </w:r>
      <w:proofErr w:type="gramEnd"/>
      <w:r w:rsidRPr="00D5347B">
        <w:rPr>
          <w:rFonts w:ascii="Arial" w:eastAsia="Times New Roman" w:hAnsi="Arial" w:cs="Arial"/>
          <w:b/>
          <w:bCs/>
          <w:sz w:val="30"/>
          <w:szCs w:val="30"/>
        </w:rPr>
        <w:t xml:space="preserve"> o perímetro para as tomadas?</w:t>
      </w:r>
    </w:p>
    <w:p w:rsidR="00D5347B" w:rsidRPr="00D5347B" w:rsidRDefault="00D5347B" w:rsidP="00A77A2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sz w:val="24"/>
          <w:szCs w:val="24"/>
        </w:rPr>
        <w:t>A norma estipula que as tomadas devem ser distribuídas com base na extensão das paredes para garantir que o usuário tenha pontos de energia por perto, evitando o uso perigoso de extensões e benjamins (tês):</w:t>
      </w:r>
    </w:p>
    <w:p w:rsidR="00D5347B" w:rsidRPr="00D5347B" w:rsidRDefault="00D5347B" w:rsidP="00A77A2C">
      <w:pPr>
        <w:numPr>
          <w:ilvl w:val="0"/>
          <w:numId w:val="2"/>
        </w:numPr>
        <w:spacing w:after="0" w:line="240" w:lineRule="auto"/>
        <w:ind w:left="709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Salas e Quartos (Cômódos Sociais)</w:t>
      </w:r>
      <w:r w:rsidRPr="00D5347B">
        <w:rPr>
          <w:rFonts w:ascii="Arial" w:eastAsia="Times New Roman" w:hAnsi="Arial" w:cs="Arial"/>
          <w:sz w:val="24"/>
          <w:szCs w:val="24"/>
        </w:rPr>
        <w:t xml:space="preserve">: Exige no mínimo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 tomada a cada 5 metros</w:t>
      </w:r>
      <w:r w:rsidRPr="00D5347B">
        <w:rPr>
          <w:rFonts w:ascii="Arial" w:eastAsia="Times New Roman" w:hAnsi="Arial" w:cs="Arial"/>
          <w:sz w:val="24"/>
          <w:szCs w:val="24"/>
        </w:rPr>
        <w:t xml:space="preserve"> ou fração de perímetro. No seu teste do Quarto com </w:t>
      </w:r>
      <w:proofErr w:type="gramStart"/>
      <w:r w:rsidRPr="00D5347B">
        <w:rPr>
          <w:rFonts w:ascii="Arial" w:eastAsia="Times New Roman" w:hAnsi="Arial" w:cs="Arial"/>
          <w:sz w:val="24"/>
          <w:szCs w:val="24"/>
        </w:rPr>
        <w:t>\(</w:t>
      </w:r>
      <w:proofErr w:type="gramEnd"/>
      <w:r w:rsidRPr="00D5347B">
        <w:rPr>
          <w:rFonts w:ascii="Arial" w:eastAsia="Times New Roman" w:hAnsi="Arial" w:cs="Arial"/>
          <w:sz w:val="24"/>
          <w:szCs w:val="24"/>
        </w:rPr>
        <w:t xml:space="preserve">14\text{m}\) de perímetro: \(14 / 5 = 2.8\), arredondando para cima, o app calculou corretamente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3 tomadas</w:t>
      </w:r>
      <w:r w:rsidRPr="00D5347B">
        <w:rPr>
          <w:rFonts w:ascii="Arial" w:eastAsia="Times New Roman" w:hAnsi="Arial" w:cs="Arial"/>
          <w:sz w:val="24"/>
          <w:szCs w:val="24"/>
        </w:rPr>
        <w:t>.</w:t>
      </w:r>
    </w:p>
    <w:p w:rsidR="00D5347B" w:rsidRPr="00D5347B" w:rsidRDefault="00D5347B" w:rsidP="00A77A2C">
      <w:pPr>
        <w:numPr>
          <w:ilvl w:val="0"/>
          <w:numId w:val="2"/>
        </w:numPr>
        <w:spacing w:after="0" w:line="240" w:lineRule="auto"/>
        <w:ind w:left="709"/>
        <w:jc w:val="both"/>
        <w:rPr>
          <w:rFonts w:ascii="Arial" w:eastAsia="Times New Roman" w:hAnsi="Arial" w:cs="Arial"/>
          <w:sz w:val="24"/>
          <w:szCs w:val="24"/>
        </w:rPr>
      </w:pPr>
      <w:r w:rsidRPr="00D5347B">
        <w:rPr>
          <w:rFonts w:ascii="Arial" w:eastAsia="Times New Roman" w:hAnsi="Arial" w:cs="Arial"/>
          <w:b/>
          <w:bCs/>
          <w:sz w:val="24"/>
          <w:szCs w:val="24"/>
        </w:rPr>
        <w:t>Cozinhas e Áreas de Serviço (Cômodos de Serviço)</w:t>
      </w:r>
      <w:r w:rsidRPr="00D5347B">
        <w:rPr>
          <w:rFonts w:ascii="Arial" w:eastAsia="Times New Roman" w:hAnsi="Arial" w:cs="Arial"/>
          <w:sz w:val="24"/>
          <w:szCs w:val="24"/>
        </w:rPr>
        <w:t xml:space="preserve">: Como usamos muitos eletrodomésticos portáteis, a norma é mais rígida e exige </w:t>
      </w:r>
      <w:r w:rsidRPr="00D5347B">
        <w:rPr>
          <w:rFonts w:ascii="Arial" w:eastAsia="Times New Roman" w:hAnsi="Arial" w:cs="Arial"/>
          <w:b/>
          <w:bCs/>
          <w:sz w:val="24"/>
          <w:szCs w:val="24"/>
        </w:rPr>
        <w:t>1 tomada a cada 3,5 metros</w:t>
      </w:r>
      <w:r w:rsidRPr="00D5347B">
        <w:rPr>
          <w:rFonts w:ascii="Arial" w:eastAsia="Times New Roman" w:hAnsi="Arial" w:cs="Arial"/>
          <w:sz w:val="24"/>
          <w:szCs w:val="24"/>
        </w:rPr>
        <w:t xml:space="preserve"> ou fração de perímetro.</w:t>
      </w:r>
    </w:p>
    <w:p w:rsidR="00D5347B" w:rsidRDefault="00963677" w:rsidP="00D534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bullet="t" o:hrstd="t" o:hr="t" fillcolor="#a0a0a0" stroked="f"/>
        </w:pict>
      </w:r>
      <w:r w:rsidR="00A77A2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:rsidR="00A77A2C" w:rsidRDefault="00A77A2C" w:rsidP="00D5347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7A2C" w:rsidRDefault="00A77A2C" w:rsidP="00826EBE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826EBE" w:rsidRPr="00826EBE" w:rsidRDefault="00826EBE" w:rsidP="0082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6EBE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Como Dimensionar e Selecionar o IDR e os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</w:rPr>
        <w:t>DPSs</w:t>
      </w:r>
      <w:proofErr w:type="spellEnd"/>
    </w:p>
    <w:p w:rsidR="00826EBE" w:rsidRPr="00826EBE" w:rsidRDefault="00826EBE" w:rsidP="00A77A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A escolha correta do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IDR (Interruptor Diferencial Residual)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e dos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DPS (Dispositivo de Proteção contra Surtos)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é fundamental para garantir a segurança das pessoas </w:t>
      </w:r>
      <w:proofErr w:type="gramStart"/>
      <w:r w:rsidRPr="00826EBE">
        <w:rPr>
          <w:rFonts w:ascii="Times New Roman" w:eastAsia="Times New Roman" w:hAnsi="Times New Roman" w:cs="Times New Roman"/>
          <w:sz w:val="24"/>
          <w:szCs w:val="24"/>
        </w:rPr>
        <w:t>contra choques</w:t>
      </w:r>
      <w:proofErr w:type="gram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elétricos e proteger os equipamentos eletrônicos contra raios e sobrecargas na rede.</w:t>
      </w:r>
    </w:p>
    <w:p w:rsidR="00826EBE" w:rsidRPr="00826EBE" w:rsidRDefault="00826EBE" w:rsidP="00A77A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Abaixo, detalhamos os critérios técnicos da norma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NBR 5410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para dimensionar ambos de forma precisa:</w:t>
      </w:r>
    </w:p>
    <w:p w:rsidR="00826EBE" w:rsidRPr="00826EBE" w:rsidRDefault="00826EBE" w:rsidP="00826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🟢</w:t>
      </w:r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gramStart"/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>Como Escolher</w:t>
      </w:r>
      <w:proofErr w:type="gramEnd"/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 IDR (Proteção contra Choques)</w:t>
      </w:r>
    </w:p>
    <w:p w:rsidR="00826EBE" w:rsidRPr="00826EBE" w:rsidRDefault="00826EBE" w:rsidP="00A77A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>O IDR é responsável por monitorar a corrente que entra e a que sai do circuito. Se houver fuga de corrente (por exemplo, uma pessoa a tocar num fio descascado), ele desliga a energia quase instantaneamente.</w:t>
      </w:r>
    </w:p>
    <w:p w:rsidR="00826EBE" w:rsidRPr="00826EBE" w:rsidRDefault="00826EBE" w:rsidP="00A77A2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Critérios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Seleção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826EBE" w:rsidRPr="00826EBE" w:rsidRDefault="00826EBE" w:rsidP="00A77A2C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Sensibilidade (Corrente Diferencial Residual - I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Δ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n):</w:t>
      </w:r>
    </w:p>
    <w:p w:rsidR="00826EBE" w:rsidRPr="00826EBE" w:rsidRDefault="00826EBE" w:rsidP="00A77A2C">
      <w:pPr>
        <w:numPr>
          <w:ilvl w:val="1"/>
          <w:numId w:val="3"/>
        </w:numPr>
        <w:spacing w:after="0" w:line="240" w:lineRule="auto"/>
        <w:ind w:left="1434" w:hanging="35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Até 30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mA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(Alta Sensibilidade):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Obrigatório em áreas molhadas (banheiros, cozinhas, lavanderias, áreas externas) e recomendado para circuitos de tomadas em geral.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Protege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diretamente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vida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humana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contra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choques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fatais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26EBE" w:rsidRPr="00826EBE" w:rsidRDefault="00826EBE" w:rsidP="00A77A2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mA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 300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mA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(Baixa Sensibilidade):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Usado geralmente como IDR geral ou contra risco de incêndio, mas não substitui a proteção de 30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mA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nas tomadas.</w:t>
      </w:r>
    </w:p>
    <w:p w:rsidR="00826EBE" w:rsidRPr="00826EBE" w:rsidRDefault="00826EBE" w:rsidP="0082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Corrente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Nominal (In):</w:t>
      </w:r>
    </w:p>
    <w:p w:rsidR="00826EBE" w:rsidRPr="00826EBE" w:rsidRDefault="00826EBE" w:rsidP="00A77A2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A corrente nominal do IDR deve ser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igual ou superior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à corrente do disjuntor geral do quadro que o alimenta (ou do circuito que ele protege).</w:t>
      </w:r>
    </w:p>
    <w:p w:rsidR="00826EBE" w:rsidRPr="00826EBE" w:rsidRDefault="00826EBE" w:rsidP="00A77A2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i/>
          <w:iCs/>
          <w:sz w:val="24"/>
          <w:szCs w:val="24"/>
        </w:rPr>
        <w:t>Exemplo: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Se o disjuntor geral do QDC for de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40 A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, o IDR deve ser de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40 A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(ou superior, como 63 A). Nunca utilize um IDR com corrente nominal inferior à soma dos circuitos que passam por ele.</w:t>
      </w:r>
    </w:p>
    <w:p w:rsidR="00826EBE" w:rsidRPr="00826EBE" w:rsidRDefault="00826EBE" w:rsidP="00826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Número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Polos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826EBE" w:rsidRPr="00826EBE" w:rsidRDefault="00826EBE" w:rsidP="00A77A2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Bipolar (Fase + Neutro ou Fase + Fase):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Para redes a 127 V ou 220 V bifásicas.</w:t>
      </w:r>
    </w:p>
    <w:p w:rsidR="00826EBE" w:rsidRPr="00826EBE" w:rsidRDefault="00826EBE" w:rsidP="00826EB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Tetrapolar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(Três Fases </w:t>
      </w:r>
      <w:proofErr w:type="gram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+ Neutro</w:t>
      </w:r>
      <w:proofErr w:type="gram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Para redes trifásicas.</w:t>
      </w:r>
    </w:p>
    <w:p w:rsidR="00826EBE" w:rsidRPr="00826EBE" w:rsidRDefault="00826EBE" w:rsidP="00A77A2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🟡</w:t>
      </w:r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gramStart"/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>Como Escolher</w:t>
      </w:r>
      <w:proofErr w:type="gramEnd"/>
      <w:r w:rsidRPr="00826E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 DPS (Proteção contra Surtos/Raios)</w:t>
      </w:r>
    </w:p>
    <w:p w:rsidR="00826EBE" w:rsidRPr="00826EBE" w:rsidRDefault="00826EBE" w:rsidP="00A77A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>O DPS desvia para o sistema de aterramento os picos de tensão causados por descargas atmosféricas (raios) ou chaveamentos na rede da concessionária.</w:t>
      </w:r>
    </w:p>
    <w:p w:rsidR="00826EBE" w:rsidRPr="00826EBE" w:rsidRDefault="00826EBE" w:rsidP="00826E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Critérios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Seleção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:</w:t>
      </w:r>
    </w:p>
    <w:p w:rsidR="00826EBE" w:rsidRPr="00826EBE" w:rsidRDefault="00826EBE" w:rsidP="0082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Classe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Proteção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Classe I (DPS Tipo 1):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Instalado no quadro principal de entrada (QDC ou QD), especialmente em locais sujeitos a raios diretos ou que possuem linha de distribuição aérea.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Suporta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ondas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corrente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muito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intensas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(10/350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μs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Classe II (DPS Tipo 2):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Protege contra surtos induzidos (raios distantes ou manobras da rede). É o mais comum para quadros de distribuição internos residenciais (8/20 </w:t>
      </w:r>
      <w:r w:rsidRPr="00826EBE">
        <w:rPr>
          <w:rFonts w:ascii="Times New Roman" w:eastAsia="Times New Roman" w:hAnsi="Times New Roman" w:cs="Times New Roman"/>
          <w:sz w:val="24"/>
          <w:szCs w:val="24"/>
          <w:lang w:val="en-US"/>
        </w:rPr>
        <w:t>μ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>s).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i/>
          <w:iCs/>
          <w:sz w:val="24"/>
          <w:szCs w:val="24"/>
        </w:rPr>
        <w:t>Nota: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É muito comum encontrar DPS combinados (Classe I + II) no mercado atual.</w:t>
      </w:r>
    </w:p>
    <w:p w:rsidR="00826EBE" w:rsidRPr="00826EBE" w:rsidRDefault="00826EBE" w:rsidP="0082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Tensão Máxima de Operação Contínua (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Uc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>O valor do DPS deve ser superior à tensão nominal da rede.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Em redes de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127 V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>, usa-se DPS com $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Uc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175\</w:t>
      </w:r>
      <w:proofErr w:type="spellStart"/>
      <w:proofErr w:type="gramStart"/>
      <w:r w:rsidRPr="00826EBE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>{ V</w:t>
      </w:r>
      <w:proofErr w:type="gramEnd"/>
      <w:r w:rsidRPr="00826EBE">
        <w:rPr>
          <w:rFonts w:ascii="Times New Roman" w:eastAsia="Times New Roman" w:hAnsi="Times New Roman" w:cs="Times New Roman"/>
          <w:sz w:val="24"/>
          <w:szCs w:val="24"/>
        </w:rPr>
        <w:t>}$.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Em redes de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220 V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>, usa-se DPS com $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Uc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275\</w:t>
      </w:r>
      <w:proofErr w:type="spellStart"/>
      <w:proofErr w:type="gramStart"/>
      <w:r w:rsidRPr="00826EBE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>{ V</w:t>
      </w:r>
      <w:proofErr w:type="gramEnd"/>
      <w:r w:rsidRPr="00826EBE">
        <w:rPr>
          <w:rFonts w:ascii="Times New Roman" w:eastAsia="Times New Roman" w:hAnsi="Times New Roman" w:cs="Times New Roman"/>
          <w:sz w:val="24"/>
          <w:szCs w:val="24"/>
        </w:rPr>
        <w:t>}$ ou $380\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>{ V}$.</w:t>
      </w:r>
    </w:p>
    <w:p w:rsidR="00826EBE" w:rsidRPr="00826EBE" w:rsidRDefault="00826EBE" w:rsidP="0082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Corrente de Descarga Máxima (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Imax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Capacidade máxima de corrente que o DPS suporta drenar sem se danificar. Para quadros residenciais, recomenda-se tipicamente </w:t>
      </w:r>
      <w:proofErr w:type="spellStart"/>
      <w:r w:rsidRPr="00826EBE">
        <w:rPr>
          <w:rFonts w:ascii="Times New Roman" w:eastAsia="Times New Roman" w:hAnsi="Times New Roman" w:cs="Times New Roman"/>
          <w:sz w:val="24"/>
          <w:szCs w:val="24"/>
        </w:rPr>
        <w:t>Imax</w:t>
      </w:r>
      <w:proofErr w:type="spellEnd"/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20 kA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40 kA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6EBE" w:rsidRPr="00826EBE" w:rsidRDefault="00826EBE" w:rsidP="00826E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Regra de Aterramento (Esquemas TT, TN-S ou TN-C):</w:t>
      </w:r>
    </w:p>
    <w:p w:rsidR="00826EBE" w:rsidRPr="00826EBE" w:rsidRDefault="00826EBE" w:rsidP="00A77A2C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Times New Roman" w:eastAsia="Times New Roman" w:hAnsi="Times New Roman" w:cs="Times New Roman"/>
          <w:sz w:val="24"/>
          <w:szCs w:val="24"/>
        </w:rPr>
        <w:t>Em uma instalação monofásica a 220 V (Fase + Neutro) ou bifásica, você precisará de DPS para as fases e, dependendo da concessionária/esquema, um DPS dedicado conectado ao Neutro.</w:t>
      </w:r>
    </w:p>
    <w:p w:rsidR="00826EBE" w:rsidRDefault="00826EBE" w:rsidP="00A77A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6EBE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826EBE">
        <w:rPr>
          <w:rFonts w:ascii="Segoe UI Symbol" w:eastAsia="Times New Roman" w:hAnsi="Segoe UI Symbol" w:cs="Segoe UI Symbol"/>
          <w:sz w:val="24"/>
          <w:szCs w:val="24"/>
          <w:lang w:val="en-US"/>
        </w:rPr>
        <w:t>️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Aviso Normativo: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A eficácia do IDR e do DPS depende de um </w:t>
      </w:r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sistema de aterramento (fio terra) eficiente e de um BEP (Barramento de </w:t>
      </w:r>
      <w:proofErr w:type="spellStart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>Equipotencialização</w:t>
      </w:r>
      <w:proofErr w:type="spellEnd"/>
      <w:r w:rsidRPr="00826E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Principal)</w:t>
      </w:r>
      <w:r w:rsidRPr="00826EBE">
        <w:rPr>
          <w:rFonts w:ascii="Times New Roman" w:eastAsia="Times New Roman" w:hAnsi="Times New Roman" w:cs="Times New Roman"/>
          <w:sz w:val="24"/>
          <w:szCs w:val="24"/>
        </w:rPr>
        <w:t xml:space="preserve"> em conformidade com a NBR 5410.</w:t>
      </w:r>
    </w:p>
    <w:p w:rsidR="001024BF" w:rsidRPr="00826EBE" w:rsidRDefault="001024BF" w:rsidP="00A77A2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347B" w:rsidRDefault="00963677" w:rsidP="00826EB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bullet="t" o:hrstd="t" o:hr="t" fillcolor="#a0a0a0" stroked="f"/>
        </w:pict>
      </w:r>
      <w:r w:rsidR="00826EB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8D54EB" w:rsidRPr="008D54EB" w:rsidRDefault="008D54EB" w:rsidP="008D54EB">
      <w:pPr>
        <w:pStyle w:val="NormalWeb"/>
        <w:rPr>
          <w:lang w:val="pt-BR"/>
        </w:rPr>
      </w:pPr>
      <w:r>
        <w:rPr>
          <w:lang w:val="pt-BR"/>
        </w:rPr>
        <w:t>A</w:t>
      </w:r>
      <w:r w:rsidRPr="008D54EB">
        <w:rPr>
          <w:lang w:val="pt-BR"/>
        </w:rPr>
        <w:t xml:space="preserve">lgumas ideias e acréscimos técnicos que combinam perfeitamente com a norma </w:t>
      </w:r>
      <w:r w:rsidRPr="008D54EB">
        <w:rPr>
          <w:b/>
          <w:bCs/>
          <w:lang w:val="pt-BR"/>
        </w:rPr>
        <w:t>NBR 5410</w:t>
      </w:r>
      <w:r w:rsidRPr="008D54EB">
        <w:rPr>
          <w:lang w:val="pt-BR"/>
        </w:rPr>
        <w:t>:</w:t>
      </w:r>
    </w:p>
    <w:p w:rsidR="008D54EB" w:rsidRPr="008D54EB" w:rsidRDefault="008D54EB" w:rsidP="008D54EB">
      <w:pPr>
        <w:pStyle w:val="Ttulo3"/>
        <w:rPr>
          <w:lang w:val="pt-BR"/>
        </w:rPr>
      </w:pPr>
      <w:r w:rsidRPr="008D54EB">
        <w:rPr>
          <w:lang w:val="pt-BR"/>
        </w:rPr>
        <w:t xml:space="preserve">1. </w:t>
      </w:r>
      <w:r>
        <w:rPr>
          <w:rFonts w:ascii="Segoe UI Symbol" w:hAnsi="Segoe UI Symbol" w:cs="Segoe UI Symbol"/>
        </w:rPr>
        <w:t>💡</w:t>
      </w:r>
      <w:r w:rsidRPr="008D54EB">
        <w:rPr>
          <w:lang w:val="pt-BR"/>
        </w:rPr>
        <w:t xml:space="preserve"> Balanceamento de Fases (Equilíbrio de Cargas)</w:t>
      </w:r>
    </w:p>
    <w:p w:rsidR="008D54EB" w:rsidRPr="008D54EB" w:rsidRDefault="008D54EB" w:rsidP="008D54EB">
      <w:pPr>
        <w:pStyle w:val="NormalWeb"/>
        <w:jc w:val="both"/>
        <w:rPr>
          <w:lang w:val="pt-BR"/>
        </w:rPr>
      </w:pPr>
      <w:r w:rsidRPr="008D54EB">
        <w:rPr>
          <w:lang w:val="pt-BR"/>
        </w:rPr>
        <w:t xml:space="preserve">Se o seu projeto estiver configurado para uma entrada </w:t>
      </w:r>
      <w:r w:rsidRPr="008D54EB">
        <w:rPr>
          <w:b/>
          <w:bCs/>
          <w:lang w:val="pt-BR"/>
        </w:rPr>
        <w:t>Bifásica (</w:t>
      </w:r>
      <w:r w:rsidRPr="008D54EB">
        <w:rPr>
          <w:rStyle w:val="math-inline"/>
          <w:b/>
          <w:bCs/>
          <w:lang w:val="pt-BR"/>
        </w:rPr>
        <w:t>$127\</w:t>
      </w:r>
      <w:proofErr w:type="spellStart"/>
      <w:proofErr w:type="gramStart"/>
      <w:r w:rsidRPr="008D54EB">
        <w:rPr>
          <w:rStyle w:val="math-inline"/>
          <w:b/>
          <w:bCs/>
          <w:lang w:val="pt-BR"/>
        </w:rPr>
        <w:t>text</w:t>
      </w:r>
      <w:proofErr w:type="spellEnd"/>
      <w:r w:rsidRPr="008D54EB">
        <w:rPr>
          <w:rStyle w:val="math-inline"/>
          <w:b/>
          <w:bCs/>
          <w:lang w:val="pt-BR"/>
        </w:rPr>
        <w:t>{</w:t>
      </w:r>
      <w:proofErr w:type="gramEnd"/>
      <w:r w:rsidRPr="008D54EB">
        <w:rPr>
          <w:rStyle w:val="math-inline"/>
          <w:b/>
          <w:bCs/>
          <w:lang w:val="pt-BR"/>
        </w:rPr>
        <w:t>V}-220\</w:t>
      </w:r>
      <w:proofErr w:type="spellStart"/>
      <w:r w:rsidRPr="008D54EB">
        <w:rPr>
          <w:rStyle w:val="math-inline"/>
          <w:b/>
          <w:bCs/>
          <w:lang w:val="pt-BR"/>
        </w:rPr>
        <w:t>text</w:t>
      </w:r>
      <w:proofErr w:type="spellEnd"/>
      <w:r w:rsidRPr="008D54EB">
        <w:rPr>
          <w:rStyle w:val="math-inline"/>
          <w:b/>
          <w:bCs/>
          <w:lang w:val="pt-BR"/>
        </w:rPr>
        <w:t>{V}$</w:t>
      </w:r>
      <w:r w:rsidRPr="008D54EB">
        <w:rPr>
          <w:b/>
          <w:bCs/>
          <w:lang w:val="pt-BR"/>
        </w:rPr>
        <w:t xml:space="preserve"> ou Fase-Fase)</w:t>
      </w:r>
      <w:r w:rsidRPr="008D54EB">
        <w:rPr>
          <w:lang w:val="pt-BR"/>
        </w:rPr>
        <w:t xml:space="preserve"> ou </w:t>
      </w:r>
      <w:r w:rsidRPr="008D54EB">
        <w:rPr>
          <w:b/>
          <w:bCs/>
          <w:lang w:val="pt-BR"/>
        </w:rPr>
        <w:t>Trifásica</w:t>
      </w:r>
      <w:r w:rsidRPr="008D54EB">
        <w:rPr>
          <w:lang w:val="pt-BR"/>
        </w:rPr>
        <w:t>, um dos maiores desafios de um projetista é distribuir os circuitos entre as fases de forma equilibrada.</w:t>
      </w:r>
    </w:p>
    <w:p w:rsidR="008D54EB" w:rsidRPr="008D54EB" w:rsidRDefault="008D54EB" w:rsidP="008D54EB">
      <w:pPr>
        <w:pStyle w:val="NormalWeb"/>
        <w:numPr>
          <w:ilvl w:val="0"/>
          <w:numId w:val="5"/>
        </w:numPr>
        <w:jc w:val="both"/>
        <w:rPr>
          <w:lang w:val="pt-BR"/>
        </w:rPr>
      </w:pPr>
      <w:r w:rsidRPr="008D54EB">
        <w:rPr>
          <w:b/>
          <w:bCs/>
          <w:lang w:val="pt-BR"/>
        </w:rPr>
        <w:t>Como implementar:</w:t>
      </w:r>
      <w:r w:rsidRPr="008D54EB">
        <w:rPr>
          <w:lang w:val="pt-BR"/>
        </w:rPr>
        <w:t xml:space="preserve"> Na listagem do </w:t>
      </w:r>
      <w:r w:rsidRPr="008D54EB">
        <w:rPr>
          <w:i/>
          <w:iCs/>
          <w:lang w:val="pt-BR"/>
        </w:rPr>
        <w:t>Quadro Geral (</w:t>
      </w:r>
      <w:proofErr w:type="spellStart"/>
      <w:r w:rsidRPr="008D54EB">
        <w:rPr>
          <w:rStyle w:val="CdigoHTML"/>
          <w:i/>
          <w:iCs/>
          <w:lang w:val="pt-BR"/>
        </w:rPr>
        <w:t>quadro.tsx</w:t>
      </w:r>
      <w:proofErr w:type="spellEnd"/>
      <w:r w:rsidRPr="008D54EB">
        <w:rPr>
          <w:i/>
          <w:iCs/>
          <w:lang w:val="pt-BR"/>
        </w:rPr>
        <w:t>)</w:t>
      </w:r>
      <w:r w:rsidRPr="008D54EB">
        <w:rPr>
          <w:lang w:val="pt-BR"/>
        </w:rPr>
        <w:t>, você poderia adicionar um identificador ou indicador visual (</w:t>
      </w:r>
      <w:proofErr w:type="spellStart"/>
      <w:r w:rsidRPr="008D54EB">
        <w:rPr>
          <w:lang w:val="pt-BR"/>
        </w:rPr>
        <w:t>ex</w:t>
      </w:r>
      <w:proofErr w:type="spellEnd"/>
      <w:r w:rsidRPr="008D54EB">
        <w:rPr>
          <w:lang w:val="pt-BR"/>
        </w:rPr>
        <w:t xml:space="preserve">: "Fase A", "Fase B", "Fase C") ao lado de cada circuito, garantindo que a soma das potências em cada fase fique </w:t>
      </w:r>
      <w:proofErr w:type="gramStart"/>
      <w:r w:rsidRPr="008D54EB">
        <w:rPr>
          <w:lang w:val="pt-BR"/>
        </w:rPr>
        <w:t>o mais próxima possível</w:t>
      </w:r>
      <w:proofErr w:type="gramEnd"/>
      <w:r w:rsidRPr="008D54EB">
        <w:rPr>
          <w:lang w:val="pt-BR"/>
        </w:rPr>
        <w:t xml:space="preserve"> para evitar a atuação do neutro e desequilíbrios no medidor.</w:t>
      </w:r>
    </w:p>
    <w:p w:rsidR="008D54EB" w:rsidRPr="008D54EB" w:rsidRDefault="008D54EB" w:rsidP="008D54EB">
      <w:pPr>
        <w:pStyle w:val="Ttulo3"/>
        <w:rPr>
          <w:lang w:val="pt-BR"/>
        </w:rPr>
      </w:pPr>
      <w:r w:rsidRPr="008D54EB">
        <w:rPr>
          <w:lang w:val="pt-BR"/>
        </w:rPr>
        <w:t xml:space="preserve">2. </w:t>
      </w:r>
      <w:r w:rsidRPr="008D54EB">
        <w:rPr>
          <w:rFonts w:ascii="Segoe UI Symbol" w:hAnsi="Segoe UI Symbol" w:cs="Segoe UI Symbol"/>
          <w:lang w:val="pt-BR"/>
        </w:rPr>
        <w:t>⚡</w:t>
      </w:r>
      <w:r w:rsidRPr="008D54EB">
        <w:rPr>
          <w:lang w:val="pt-BR"/>
        </w:rPr>
        <w:t xml:space="preserve"> Dimensionamento Físico do Quadro de Distribuição (QDC)</w:t>
      </w:r>
    </w:p>
    <w:p w:rsidR="008D54EB" w:rsidRPr="008D54EB" w:rsidRDefault="008D54EB" w:rsidP="008D54EB">
      <w:pPr>
        <w:pStyle w:val="NormalWeb"/>
        <w:jc w:val="both"/>
        <w:rPr>
          <w:lang w:val="pt-BR"/>
        </w:rPr>
      </w:pPr>
      <w:r w:rsidRPr="008D54EB">
        <w:rPr>
          <w:lang w:val="pt-BR"/>
        </w:rPr>
        <w:lastRenderedPageBreak/>
        <w:t>Além de calcular cabos e disjuntores, a norma exige prever o espaço físico interno do quadro.</w:t>
      </w:r>
    </w:p>
    <w:p w:rsidR="008D54EB" w:rsidRPr="008D54EB" w:rsidRDefault="008D54EB" w:rsidP="008D54EB">
      <w:pPr>
        <w:pStyle w:val="NormalWeb"/>
        <w:numPr>
          <w:ilvl w:val="0"/>
          <w:numId w:val="6"/>
        </w:numPr>
        <w:jc w:val="both"/>
        <w:rPr>
          <w:lang w:val="pt-BR"/>
        </w:rPr>
      </w:pPr>
      <w:r w:rsidRPr="008D54EB">
        <w:rPr>
          <w:b/>
          <w:bCs/>
          <w:lang w:val="pt-BR"/>
        </w:rPr>
        <w:t>Como implementar:</w:t>
      </w:r>
      <w:r w:rsidRPr="008D54EB">
        <w:rPr>
          <w:lang w:val="pt-BR"/>
        </w:rPr>
        <w:t xml:space="preserve"> Criar uma aba ou seção que calcula o </w:t>
      </w:r>
      <w:r w:rsidRPr="008D54EB">
        <w:rPr>
          <w:b/>
          <w:bCs/>
          <w:lang w:val="pt-BR"/>
        </w:rPr>
        <w:t>número de "polos" (espaço DIN ou NEMA)</w:t>
      </w:r>
      <w:r w:rsidRPr="008D54EB">
        <w:rPr>
          <w:lang w:val="pt-BR"/>
        </w:rPr>
        <w:t xml:space="preserve"> necessários no quadro.</w:t>
      </w:r>
    </w:p>
    <w:p w:rsidR="008D54EB" w:rsidRPr="008D54EB" w:rsidRDefault="008D54EB" w:rsidP="008D54EB">
      <w:pPr>
        <w:pStyle w:val="NormalWeb"/>
        <w:numPr>
          <w:ilvl w:val="1"/>
          <w:numId w:val="6"/>
        </w:numPr>
        <w:jc w:val="both"/>
        <w:rPr>
          <w:lang w:val="pt-BR"/>
        </w:rPr>
      </w:pPr>
      <w:r w:rsidRPr="008D54EB">
        <w:rPr>
          <w:i/>
          <w:iCs/>
          <w:lang w:val="pt-BR"/>
        </w:rPr>
        <w:t>Exemplo:</w:t>
      </w:r>
      <w:r w:rsidRPr="008D54EB">
        <w:rPr>
          <w:lang w:val="pt-BR"/>
        </w:rPr>
        <w:t xml:space="preserve"> Disjuntor monopolar = 1 polo, Disjuntor bipolar = 2 polos, IDR = 2 ou 4 polos, DPS = 1 polo por unidade. Isso ajuda a saber se um quadro de 12, 18 ou 24 disjuntores é o suficiente.</w:t>
      </w:r>
    </w:p>
    <w:p w:rsidR="008D54EB" w:rsidRPr="008D54EB" w:rsidRDefault="008D54EB" w:rsidP="008D54EB">
      <w:pPr>
        <w:pStyle w:val="Ttulo3"/>
        <w:rPr>
          <w:lang w:val="pt-BR"/>
        </w:rPr>
      </w:pPr>
      <w:r w:rsidRPr="008D54EB">
        <w:rPr>
          <w:lang w:val="pt-BR"/>
        </w:rPr>
        <w:t xml:space="preserve">3. </w:t>
      </w:r>
      <w:r>
        <w:rPr>
          <w:rFonts w:ascii="Segoe UI Symbol" w:hAnsi="Segoe UI Symbol" w:cs="Segoe UI Symbol"/>
        </w:rPr>
        <w:t>📈</w:t>
      </w:r>
      <w:r w:rsidRPr="008D54EB">
        <w:rPr>
          <w:lang w:val="pt-BR"/>
        </w:rPr>
        <w:t xml:space="preserve"> Memorial Descritivo Completo e Exportação em PDF</w:t>
      </w:r>
    </w:p>
    <w:p w:rsidR="008D54EB" w:rsidRPr="008D54EB" w:rsidRDefault="008D54EB" w:rsidP="008D54EB">
      <w:pPr>
        <w:pStyle w:val="NormalWeb"/>
        <w:rPr>
          <w:lang w:val="pt-BR"/>
        </w:rPr>
      </w:pPr>
      <w:r w:rsidRPr="008D54EB">
        <w:rPr>
          <w:lang w:val="pt-BR"/>
        </w:rPr>
        <w:t xml:space="preserve">O botão "Enviar Relatório" que você criou via </w:t>
      </w:r>
      <w:proofErr w:type="spellStart"/>
      <w:r w:rsidRPr="008D54EB">
        <w:rPr>
          <w:lang w:val="pt-BR"/>
        </w:rPr>
        <w:t>Share</w:t>
      </w:r>
      <w:proofErr w:type="spellEnd"/>
      <w:r w:rsidRPr="008D54EB">
        <w:rPr>
          <w:lang w:val="pt-BR"/>
        </w:rPr>
        <w:t xml:space="preserve"> está ótimo para mensagens rápidas, mas no mercado profissional exige-se um documento formal.</w:t>
      </w:r>
    </w:p>
    <w:p w:rsidR="008D54EB" w:rsidRDefault="008D54EB" w:rsidP="008D54EB">
      <w:pPr>
        <w:pStyle w:val="NormalWeb"/>
        <w:numPr>
          <w:ilvl w:val="0"/>
          <w:numId w:val="7"/>
        </w:numPr>
        <w:jc w:val="both"/>
        <w:rPr>
          <w:lang w:val="pt-BR"/>
        </w:rPr>
      </w:pPr>
      <w:r w:rsidRPr="008D54EB">
        <w:rPr>
          <w:b/>
          <w:bCs/>
          <w:lang w:val="pt-BR"/>
        </w:rPr>
        <w:t>Como implementar:</w:t>
      </w:r>
      <w:r w:rsidRPr="008D54EB">
        <w:rPr>
          <w:lang w:val="pt-BR"/>
        </w:rPr>
        <w:t xml:space="preserve"> Utilizar uma biblioteca como </w:t>
      </w:r>
      <w:r w:rsidRPr="008D54EB">
        <w:rPr>
          <w:rStyle w:val="CdigoHTML"/>
          <w:lang w:val="pt-BR"/>
        </w:rPr>
        <w:t>expo-</w:t>
      </w:r>
      <w:proofErr w:type="spellStart"/>
      <w:r w:rsidRPr="008D54EB">
        <w:rPr>
          <w:rStyle w:val="CdigoHTML"/>
          <w:lang w:val="pt-BR"/>
        </w:rPr>
        <w:t>print</w:t>
      </w:r>
      <w:proofErr w:type="spellEnd"/>
      <w:r w:rsidRPr="008D54EB">
        <w:rPr>
          <w:lang w:val="pt-BR"/>
        </w:rPr>
        <w:t xml:space="preserve"> para gerar um </w:t>
      </w:r>
      <w:r w:rsidRPr="008D54EB">
        <w:rPr>
          <w:b/>
          <w:bCs/>
          <w:lang w:val="pt-BR"/>
        </w:rPr>
        <w:t>documento PDF estruturado</w:t>
      </w:r>
      <w:r w:rsidRPr="008D54EB">
        <w:rPr>
          <w:lang w:val="pt-BR"/>
        </w:rPr>
        <w:t xml:space="preserve"> com o logotipo, normas aplicáveis, memorial descritivo, relação de circuitos e dimensionamento geral, permitindo guardar o arquivo diretamente no </w:t>
      </w:r>
      <w:proofErr w:type="spellStart"/>
      <w:r w:rsidRPr="008D54EB">
        <w:rPr>
          <w:lang w:val="pt-BR"/>
        </w:rPr>
        <w:t>telemóvel</w:t>
      </w:r>
      <w:proofErr w:type="spellEnd"/>
      <w:r w:rsidRPr="008D54EB">
        <w:rPr>
          <w:lang w:val="pt-BR"/>
        </w:rPr>
        <w:t xml:space="preserve"> ou imprimir.</w:t>
      </w:r>
    </w:p>
    <w:p w:rsidR="008D54EB" w:rsidRPr="008D54EB" w:rsidRDefault="00963677" w:rsidP="008D54EB">
      <w:pPr>
        <w:pStyle w:val="NormalWeb"/>
        <w:rPr>
          <w:lang w:val="pt-BR"/>
        </w:rPr>
      </w:pPr>
      <w:r>
        <w:rPr>
          <w:lang w:val="pt-BR"/>
        </w:rPr>
        <w:pict>
          <v:rect id="_x0000_i1031" style="width:0;height:1.5pt" o:hralign="center" o:bullet="t" o:hrstd="t" o:hr="t" fillcolor="#a0a0a0" stroked="f"/>
        </w:pict>
      </w:r>
      <w:r w:rsidR="008D54EB" w:rsidRPr="008D54EB">
        <w:rPr>
          <w:lang w:val="pt-BR"/>
        </w:rPr>
        <w:t xml:space="preserve"> </w:t>
      </w:r>
    </w:p>
    <w:p w:rsidR="00D172FB" w:rsidRPr="00D172FB" w:rsidRDefault="00D172FB" w:rsidP="00D172FB">
      <w:pPr>
        <w:pStyle w:val="NormalWeb"/>
        <w:jc w:val="both"/>
        <w:rPr>
          <w:lang w:val="pt-BR"/>
        </w:rPr>
      </w:pPr>
      <w:r w:rsidRPr="00D172FB">
        <w:rPr>
          <w:lang w:val="pt-BR"/>
        </w:rPr>
        <w:t xml:space="preserve">A escolha entre os sistemas </w:t>
      </w:r>
      <w:r w:rsidRPr="00D172FB">
        <w:rPr>
          <w:b/>
          <w:bCs/>
          <w:lang w:val="pt-BR"/>
        </w:rPr>
        <w:t>monofásico, bifásico ou trifásico</w:t>
      </w:r>
      <w:r w:rsidRPr="00D172FB">
        <w:rPr>
          <w:lang w:val="pt-BR"/>
        </w:rPr>
        <w:t xml:space="preserve"> depende fundamentalmente da </w:t>
      </w:r>
      <w:r w:rsidRPr="00D172FB">
        <w:rPr>
          <w:b/>
          <w:bCs/>
          <w:lang w:val="pt-BR"/>
        </w:rPr>
        <w:t>potência total calculada</w:t>
      </w:r>
      <w:r w:rsidRPr="00D172FB">
        <w:rPr>
          <w:lang w:val="pt-BR"/>
        </w:rPr>
        <w:t xml:space="preserve"> (demanda) e dos </w:t>
      </w:r>
      <w:r w:rsidRPr="00D172FB">
        <w:rPr>
          <w:b/>
          <w:bCs/>
          <w:lang w:val="pt-BR"/>
        </w:rPr>
        <w:t>equipamentos</w:t>
      </w:r>
      <w:r w:rsidRPr="00D172FB">
        <w:rPr>
          <w:lang w:val="pt-BR"/>
        </w:rPr>
        <w:t xml:space="preserve"> que serão ligados na residência ou estabelecimento.</w:t>
      </w:r>
    </w:p>
    <w:p w:rsidR="00D172FB" w:rsidRPr="00D172FB" w:rsidRDefault="00D172FB" w:rsidP="00D172FB">
      <w:pPr>
        <w:pStyle w:val="NormalWeb"/>
        <w:jc w:val="both"/>
        <w:rPr>
          <w:lang w:val="pt-BR"/>
        </w:rPr>
      </w:pPr>
      <w:r w:rsidRPr="00D172FB">
        <w:rPr>
          <w:lang w:val="pt-BR"/>
        </w:rPr>
        <w:t>As concessionárias de energia no Brasil (CPFL, Enel, Neoenergia, EDP, etc.) possuem regras e limites muito claros estabelecidos em suas normas técnicas para o fornecimento em tensão secundária (baixa tensão):</w:t>
      </w:r>
    </w:p>
    <w:p w:rsidR="00D172FB" w:rsidRPr="00D172FB" w:rsidRDefault="00D172FB" w:rsidP="00D172FB">
      <w:pPr>
        <w:pStyle w:val="Ttulo3"/>
        <w:jc w:val="both"/>
        <w:rPr>
          <w:lang w:val="pt-BR"/>
        </w:rPr>
      </w:pPr>
      <w:r>
        <w:t>🟢</w:t>
      </w:r>
      <w:r w:rsidRPr="00D172FB">
        <w:rPr>
          <w:lang w:val="pt-BR"/>
        </w:rPr>
        <w:t xml:space="preserve"> 1. Sistema Monofásico (1 Fase + Neutro + Terra)</w:t>
      </w:r>
    </w:p>
    <w:p w:rsidR="00D172FB" w:rsidRPr="00D172FB" w:rsidRDefault="00D172FB" w:rsidP="00D172FB">
      <w:pPr>
        <w:pStyle w:val="NormalWeb"/>
        <w:numPr>
          <w:ilvl w:val="0"/>
          <w:numId w:val="8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Quando utilizar:</w:t>
      </w:r>
      <w:r w:rsidRPr="00D172FB">
        <w:rPr>
          <w:lang w:val="pt-BR"/>
        </w:rPr>
        <w:t xml:space="preserve"> Residências pequenas, kitnets ou comércios de baixo consumo, onde a demanda calculada é relativamente baixa.</w:t>
      </w:r>
    </w:p>
    <w:p w:rsidR="00D172FB" w:rsidRPr="00D172FB" w:rsidRDefault="00D172FB" w:rsidP="00D172FB">
      <w:pPr>
        <w:pStyle w:val="NormalWeb"/>
        <w:numPr>
          <w:ilvl w:val="0"/>
          <w:numId w:val="8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Limites típicos das concessionárias:</w:t>
      </w:r>
      <w:r w:rsidRPr="00D172FB">
        <w:rPr>
          <w:lang w:val="pt-BR"/>
        </w:rPr>
        <w:t xml:space="preserve"> Geralmente, é permitido para demandas de até </w:t>
      </w:r>
      <w:r w:rsidRPr="00D172FB">
        <w:rPr>
          <w:b/>
          <w:bCs/>
          <w:lang w:val="pt-BR"/>
        </w:rPr>
        <w:t>11,5 kVA</w:t>
      </w:r>
      <w:r w:rsidRPr="00D172FB">
        <w:rPr>
          <w:lang w:val="pt-BR"/>
        </w:rPr>
        <w:t xml:space="preserve"> a </w:t>
      </w:r>
      <w:r w:rsidRPr="00D172FB">
        <w:rPr>
          <w:b/>
          <w:bCs/>
          <w:lang w:val="pt-BR"/>
        </w:rPr>
        <w:t>12 kVA</w:t>
      </w:r>
      <w:r w:rsidRPr="00D172FB">
        <w:rPr>
          <w:lang w:val="pt-BR"/>
        </w:rPr>
        <w:t>.</w:t>
      </w:r>
    </w:p>
    <w:p w:rsidR="00D172FB" w:rsidRPr="00D172FB" w:rsidRDefault="00D172FB" w:rsidP="00D172FB">
      <w:pPr>
        <w:pStyle w:val="NormalWeb"/>
        <w:numPr>
          <w:ilvl w:val="0"/>
          <w:numId w:val="8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Tensão típica:</w:t>
      </w:r>
      <w:r w:rsidRPr="00D172FB">
        <w:rPr>
          <w:lang w:val="pt-BR"/>
        </w:rPr>
        <w:t xml:space="preserve"> </w:t>
      </w:r>
      <w:r w:rsidRPr="00D172FB">
        <w:rPr>
          <w:rStyle w:val="math-inline"/>
          <w:lang w:val="pt-BR"/>
        </w:rPr>
        <w:t>$127\</w:t>
      </w:r>
      <w:proofErr w:type="gramStart"/>
      <w:r w:rsidRPr="00D172FB">
        <w:rPr>
          <w:rStyle w:val="math-inline"/>
          <w:lang w:val="pt-BR"/>
        </w:rPr>
        <w:t>text{ V</w:t>
      </w:r>
      <w:proofErr w:type="gramEnd"/>
      <w:r w:rsidRPr="00D172FB">
        <w:rPr>
          <w:rStyle w:val="math-inline"/>
          <w:lang w:val="pt-BR"/>
        </w:rPr>
        <w:t>}$</w:t>
      </w:r>
      <w:r w:rsidRPr="00D172FB">
        <w:rPr>
          <w:lang w:val="pt-BR"/>
        </w:rPr>
        <w:t xml:space="preserve"> (fase-neutro) ou </w:t>
      </w:r>
      <w:r w:rsidRPr="00D172FB">
        <w:rPr>
          <w:rStyle w:val="math-inline"/>
          <w:lang w:val="pt-BR"/>
        </w:rPr>
        <w:t>$220\text{ V}$</w:t>
      </w:r>
      <w:r w:rsidRPr="00D172FB">
        <w:rPr>
          <w:lang w:val="pt-BR"/>
        </w:rPr>
        <w:t xml:space="preserve"> (fase-neutro), dependendo da região do país.</w:t>
      </w:r>
    </w:p>
    <w:p w:rsidR="00D172FB" w:rsidRPr="00D172FB" w:rsidRDefault="00D172FB" w:rsidP="00D172FB">
      <w:pPr>
        <w:pStyle w:val="Ttulo3"/>
        <w:jc w:val="both"/>
        <w:rPr>
          <w:lang w:val="pt-BR"/>
        </w:rPr>
      </w:pPr>
      <w:r>
        <w:t>🟡</w:t>
      </w:r>
      <w:r w:rsidRPr="00D172FB">
        <w:rPr>
          <w:lang w:val="pt-BR"/>
        </w:rPr>
        <w:t xml:space="preserve"> 2. Sistema Bifásico (2 Fases </w:t>
      </w:r>
      <w:proofErr w:type="gramStart"/>
      <w:r w:rsidRPr="00D172FB">
        <w:rPr>
          <w:lang w:val="pt-BR"/>
        </w:rPr>
        <w:t>+ Neutro</w:t>
      </w:r>
      <w:proofErr w:type="gramEnd"/>
      <w:r w:rsidRPr="00D172FB">
        <w:rPr>
          <w:lang w:val="pt-BR"/>
        </w:rPr>
        <w:t xml:space="preserve"> + Terra)</w:t>
      </w:r>
    </w:p>
    <w:p w:rsidR="00D172FB" w:rsidRPr="00D172FB" w:rsidRDefault="00D172FB" w:rsidP="00D172FB">
      <w:pPr>
        <w:pStyle w:val="NormalWeb"/>
        <w:numPr>
          <w:ilvl w:val="0"/>
          <w:numId w:val="9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Quando utilizar:</w:t>
      </w:r>
      <w:r w:rsidRPr="00D172FB">
        <w:rPr>
          <w:lang w:val="pt-BR"/>
        </w:rPr>
        <w:t xml:space="preserve"> Residências médias e padrões habitacionais comuns, onde há um número moderado de chuveiros elétricos, torneiras aquecidas ou aparelhos de ar-condicionado.</w:t>
      </w:r>
    </w:p>
    <w:p w:rsidR="00D172FB" w:rsidRPr="00D172FB" w:rsidRDefault="00D172FB" w:rsidP="00D172FB">
      <w:pPr>
        <w:pStyle w:val="NormalWeb"/>
        <w:numPr>
          <w:ilvl w:val="0"/>
          <w:numId w:val="9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Limites típicos das concessionárias:</w:t>
      </w:r>
      <w:r w:rsidRPr="00D172FB">
        <w:rPr>
          <w:lang w:val="pt-BR"/>
        </w:rPr>
        <w:t xml:space="preserve"> Empregada para demandas que ultrapassam o limite monofásico e geralmente vão até </w:t>
      </w:r>
      <w:r w:rsidRPr="00D172FB">
        <w:rPr>
          <w:b/>
          <w:bCs/>
          <w:lang w:val="pt-BR"/>
        </w:rPr>
        <w:t>25 kVA</w:t>
      </w:r>
      <w:r w:rsidRPr="00D172FB">
        <w:rPr>
          <w:lang w:val="pt-BR"/>
        </w:rPr>
        <w:t xml:space="preserve"> (ou conforme a tabela de carga instalada da distribuidora local).</w:t>
      </w:r>
    </w:p>
    <w:p w:rsidR="00D172FB" w:rsidRPr="00D172FB" w:rsidRDefault="00D172FB" w:rsidP="00D172FB">
      <w:pPr>
        <w:pStyle w:val="NormalWeb"/>
        <w:numPr>
          <w:ilvl w:val="0"/>
          <w:numId w:val="9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Tensão típica:</w:t>
      </w:r>
      <w:r w:rsidRPr="00D172FB">
        <w:rPr>
          <w:lang w:val="pt-BR"/>
        </w:rPr>
        <w:t xml:space="preserve"> Permite ter circuitos a </w:t>
      </w:r>
      <w:r w:rsidRPr="00D172FB">
        <w:rPr>
          <w:rStyle w:val="math-inline"/>
          <w:lang w:val="pt-BR"/>
        </w:rPr>
        <w:t>$127\</w:t>
      </w:r>
      <w:proofErr w:type="gramStart"/>
      <w:r w:rsidRPr="00D172FB">
        <w:rPr>
          <w:rStyle w:val="math-inline"/>
          <w:lang w:val="pt-BR"/>
        </w:rPr>
        <w:t>text{ V</w:t>
      </w:r>
      <w:proofErr w:type="gramEnd"/>
      <w:r w:rsidRPr="00D172FB">
        <w:rPr>
          <w:rStyle w:val="math-inline"/>
          <w:lang w:val="pt-BR"/>
        </w:rPr>
        <w:t>}$</w:t>
      </w:r>
      <w:r w:rsidRPr="00D172FB">
        <w:rPr>
          <w:lang w:val="pt-BR"/>
        </w:rPr>
        <w:t xml:space="preserve"> (iluminação/tugs) e também </w:t>
      </w:r>
      <w:r w:rsidRPr="00D172FB">
        <w:rPr>
          <w:rStyle w:val="math-inline"/>
          <w:lang w:val="pt-BR"/>
        </w:rPr>
        <w:t>$220\text{ V}$</w:t>
      </w:r>
      <w:r w:rsidRPr="00D172FB">
        <w:rPr>
          <w:lang w:val="pt-BR"/>
        </w:rPr>
        <w:t xml:space="preserve"> (fase-fase para chuveiros ou motores monofásicos).</w:t>
      </w:r>
    </w:p>
    <w:p w:rsidR="00D172FB" w:rsidRPr="00D172FB" w:rsidRDefault="00D172FB" w:rsidP="00D172FB">
      <w:pPr>
        <w:pStyle w:val="Ttulo3"/>
        <w:jc w:val="both"/>
        <w:rPr>
          <w:lang w:val="pt-BR"/>
        </w:rPr>
      </w:pPr>
      <w:r>
        <w:lastRenderedPageBreak/>
        <w:t>🟠</w:t>
      </w:r>
      <w:r w:rsidRPr="00D172FB">
        <w:rPr>
          <w:lang w:val="pt-BR"/>
        </w:rPr>
        <w:t xml:space="preserve"> 3. Sistema Trifásico (3 Fases </w:t>
      </w:r>
      <w:proofErr w:type="gramStart"/>
      <w:r w:rsidRPr="00D172FB">
        <w:rPr>
          <w:lang w:val="pt-BR"/>
        </w:rPr>
        <w:t>+ Neutro</w:t>
      </w:r>
      <w:proofErr w:type="gramEnd"/>
      <w:r w:rsidRPr="00D172FB">
        <w:rPr>
          <w:lang w:val="pt-BR"/>
        </w:rPr>
        <w:t xml:space="preserve"> + Terra)</w:t>
      </w:r>
    </w:p>
    <w:p w:rsidR="00D172FB" w:rsidRPr="00D172FB" w:rsidRDefault="00D172FB" w:rsidP="00D172FB">
      <w:pPr>
        <w:pStyle w:val="NormalWeb"/>
        <w:numPr>
          <w:ilvl w:val="0"/>
          <w:numId w:val="10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Quando utilizar:</w:t>
      </w:r>
      <w:r w:rsidRPr="00D172FB">
        <w:rPr>
          <w:lang w:val="pt-BR"/>
        </w:rPr>
        <w:t xml:space="preserve"> Residências de médio/alto padrão (com múltiplos chuveiros de alta potência a funcionar em simultâneo), residências rurais, oficinas, ou estabelecimentos comerciais e industriais de médio porte.</w:t>
      </w:r>
    </w:p>
    <w:p w:rsidR="00D172FB" w:rsidRPr="00D172FB" w:rsidRDefault="00D172FB" w:rsidP="00D172FB">
      <w:pPr>
        <w:pStyle w:val="NormalWeb"/>
        <w:numPr>
          <w:ilvl w:val="0"/>
          <w:numId w:val="10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Limites típicos das concessionárias:</w:t>
      </w:r>
      <w:r w:rsidRPr="00D172FB">
        <w:rPr>
          <w:lang w:val="pt-BR"/>
        </w:rPr>
        <w:t xml:space="preserve"> Exigido obrigatoriamente quando a demanda calculada excede o limite do fornecimento bifásico (acima de </w:t>
      </w:r>
      <w:r w:rsidRPr="00D172FB">
        <w:rPr>
          <w:b/>
          <w:bCs/>
          <w:lang w:val="pt-BR"/>
        </w:rPr>
        <w:t>25 kVA</w:t>
      </w:r>
      <w:r w:rsidRPr="00D172FB">
        <w:rPr>
          <w:lang w:val="pt-BR"/>
        </w:rPr>
        <w:t xml:space="preserve"> a </w:t>
      </w:r>
      <w:r w:rsidRPr="00D172FB">
        <w:rPr>
          <w:b/>
          <w:bCs/>
          <w:lang w:val="pt-BR"/>
        </w:rPr>
        <w:t>75 kVA</w:t>
      </w:r>
      <w:r w:rsidRPr="00D172FB">
        <w:rPr>
          <w:lang w:val="pt-BR"/>
        </w:rPr>
        <w:t>, dependendo da distribuidora).</w:t>
      </w:r>
    </w:p>
    <w:p w:rsidR="00D172FB" w:rsidRPr="00D172FB" w:rsidRDefault="00D172FB" w:rsidP="00D172FB">
      <w:pPr>
        <w:pStyle w:val="NormalWeb"/>
        <w:numPr>
          <w:ilvl w:val="0"/>
          <w:numId w:val="10"/>
        </w:numPr>
        <w:jc w:val="both"/>
        <w:rPr>
          <w:lang w:val="pt-BR"/>
        </w:rPr>
      </w:pPr>
      <w:r w:rsidRPr="00D172FB">
        <w:rPr>
          <w:b/>
          <w:bCs/>
          <w:lang w:val="pt-BR"/>
        </w:rPr>
        <w:t>Vantagem técnica:</w:t>
      </w:r>
      <w:r w:rsidRPr="00D172FB">
        <w:rPr>
          <w:lang w:val="pt-BR"/>
        </w:rPr>
        <w:t xml:space="preserve"> Distribui melhor as cargas pesadas ao longo de três condutores de fase, equilibrando o circuito e evitando cabos de entrada com bitolas excessivamente grossas.</w:t>
      </w:r>
    </w:p>
    <w:p w:rsidR="00D172FB" w:rsidRPr="00D172FB" w:rsidRDefault="00D172FB" w:rsidP="00D172FB">
      <w:pPr>
        <w:pStyle w:val="Ttulo3"/>
        <w:jc w:val="both"/>
        <w:rPr>
          <w:lang w:val="pt-BR"/>
        </w:rPr>
      </w:pPr>
      <w:r>
        <w:rPr>
          <w:rFonts w:ascii="Segoe UI Symbol" w:hAnsi="Segoe UI Symbol" w:cs="Segoe UI Symbol"/>
        </w:rPr>
        <w:t>💡</w:t>
      </w:r>
      <w:r w:rsidRPr="00D172FB">
        <w:rPr>
          <w:lang w:val="pt-BR"/>
        </w:rPr>
        <w:t xml:space="preserve"> Resumo Prático para Projetos Residenciais</w:t>
      </w:r>
    </w:p>
    <w:p w:rsidR="00D172FB" w:rsidRPr="00D172FB" w:rsidRDefault="00D172FB" w:rsidP="00D172FB">
      <w:pPr>
        <w:pStyle w:val="NormalWeb"/>
        <w:jc w:val="both"/>
        <w:rPr>
          <w:lang w:val="pt-BR"/>
        </w:rPr>
      </w:pPr>
      <w:r w:rsidRPr="00D172FB">
        <w:rPr>
          <w:lang w:val="pt-BR"/>
        </w:rPr>
        <w:t>Uma boa prática empírica para dimensionamento em baixa tensão:</w:t>
      </w:r>
    </w:p>
    <w:p w:rsidR="00D172FB" w:rsidRDefault="00D172FB" w:rsidP="00D172FB">
      <w:pPr>
        <w:pStyle w:val="NormalWeb"/>
        <w:numPr>
          <w:ilvl w:val="0"/>
          <w:numId w:val="11"/>
        </w:numPr>
        <w:jc w:val="both"/>
      </w:pPr>
      <w:proofErr w:type="spellStart"/>
      <w:r>
        <w:t>Até</w:t>
      </w:r>
      <w:proofErr w:type="spellEnd"/>
      <w:r>
        <w:t xml:space="preserve"> </w:t>
      </w:r>
      <w:r>
        <w:rPr>
          <w:rStyle w:val="math-inline"/>
        </w:rPr>
        <w:t>$12\text{ kVA} 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rPr>
          <w:b/>
          <w:bCs/>
        </w:rPr>
        <w:t>Monofásico</w:t>
      </w:r>
      <w:proofErr w:type="spellEnd"/>
    </w:p>
    <w:p w:rsidR="00D172FB" w:rsidRPr="00D172FB" w:rsidRDefault="00D172FB" w:rsidP="00D172FB">
      <w:pPr>
        <w:pStyle w:val="NormalWeb"/>
        <w:numPr>
          <w:ilvl w:val="0"/>
          <w:numId w:val="11"/>
        </w:numPr>
        <w:jc w:val="both"/>
        <w:rPr>
          <w:lang w:val="pt-BR"/>
        </w:rPr>
      </w:pPr>
      <w:r w:rsidRPr="00D172FB">
        <w:rPr>
          <w:lang w:val="pt-BR"/>
        </w:rPr>
        <w:t xml:space="preserve">Entre </w:t>
      </w:r>
      <w:r w:rsidRPr="00D172FB">
        <w:rPr>
          <w:rStyle w:val="math-inline"/>
          <w:lang w:val="pt-BR"/>
        </w:rPr>
        <w:t>$13\</w:t>
      </w:r>
      <w:proofErr w:type="gramStart"/>
      <w:r w:rsidRPr="00D172FB">
        <w:rPr>
          <w:rStyle w:val="math-inline"/>
          <w:lang w:val="pt-BR"/>
        </w:rPr>
        <w:t>text{ kVA</w:t>
      </w:r>
      <w:proofErr w:type="gramEnd"/>
      <w:r w:rsidRPr="00D172FB">
        <w:rPr>
          <w:rStyle w:val="math-inline"/>
          <w:lang w:val="pt-BR"/>
        </w:rPr>
        <w:t>}$</w:t>
      </w:r>
      <w:r w:rsidRPr="00D172FB">
        <w:rPr>
          <w:lang w:val="pt-BR"/>
        </w:rPr>
        <w:t xml:space="preserve"> e </w:t>
      </w:r>
      <w:r w:rsidRPr="00D172FB">
        <w:rPr>
          <w:rStyle w:val="math-inline"/>
          <w:lang w:val="pt-BR"/>
        </w:rPr>
        <w:t>$25\text{ kVA} \rightarrow$</w:t>
      </w:r>
      <w:r w:rsidRPr="00D172FB">
        <w:rPr>
          <w:lang w:val="pt-BR"/>
        </w:rPr>
        <w:t xml:space="preserve"> </w:t>
      </w:r>
      <w:r w:rsidRPr="00D172FB">
        <w:rPr>
          <w:b/>
          <w:bCs/>
          <w:lang w:val="pt-BR"/>
        </w:rPr>
        <w:t>Bifásico</w:t>
      </w:r>
    </w:p>
    <w:p w:rsidR="00D172FB" w:rsidRPr="00D172FB" w:rsidRDefault="00D172FB" w:rsidP="00D172FB">
      <w:pPr>
        <w:pStyle w:val="NormalWeb"/>
        <w:numPr>
          <w:ilvl w:val="0"/>
          <w:numId w:val="11"/>
        </w:numPr>
        <w:jc w:val="both"/>
        <w:rPr>
          <w:lang w:val="pt-BR"/>
        </w:rPr>
      </w:pPr>
      <w:r w:rsidRPr="00D172FB">
        <w:rPr>
          <w:lang w:val="pt-BR"/>
        </w:rPr>
        <w:t xml:space="preserve">Acima de </w:t>
      </w:r>
      <w:r w:rsidRPr="00D172FB">
        <w:rPr>
          <w:rStyle w:val="math-inline"/>
          <w:lang w:val="pt-BR"/>
        </w:rPr>
        <w:t>$25\</w:t>
      </w:r>
      <w:proofErr w:type="gramStart"/>
      <w:r w:rsidRPr="00D172FB">
        <w:rPr>
          <w:rStyle w:val="math-inline"/>
          <w:lang w:val="pt-BR"/>
        </w:rPr>
        <w:t>text{ kVA</w:t>
      </w:r>
      <w:proofErr w:type="gramEnd"/>
      <w:r w:rsidRPr="00D172FB">
        <w:rPr>
          <w:rStyle w:val="math-inline"/>
          <w:lang w:val="pt-BR"/>
        </w:rPr>
        <w:t>} \rightarrow$</w:t>
      </w:r>
      <w:r w:rsidRPr="00D172FB">
        <w:rPr>
          <w:lang w:val="pt-BR"/>
        </w:rPr>
        <w:t xml:space="preserve"> </w:t>
      </w:r>
      <w:r w:rsidRPr="00D172FB">
        <w:rPr>
          <w:b/>
          <w:bCs/>
          <w:lang w:val="pt-BR"/>
        </w:rPr>
        <w:t>Trifásico</w:t>
      </w:r>
    </w:p>
    <w:p w:rsidR="00D172FB" w:rsidRPr="00D172FB" w:rsidRDefault="00D172FB" w:rsidP="00D172FB">
      <w:pPr>
        <w:pStyle w:val="NormalWeb"/>
        <w:jc w:val="both"/>
        <w:rPr>
          <w:lang w:val="pt-BR"/>
        </w:rPr>
      </w:pPr>
      <w:r w:rsidRPr="00D172FB">
        <w:rPr>
          <w:rFonts w:ascii="Segoe UI Symbol" w:hAnsi="Segoe UI Symbol" w:cs="Segoe UI Symbol"/>
          <w:lang w:val="pt-BR"/>
        </w:rPr>
        <w:t>⚠</w:t>
      </w:r>
      <w:r>
        <w:rPr>
          <w:rFonts w:ascii="Segoe UI Symbol" w:hAnsi="Segoe UI Symbol" w:cs="Segoe UI Symbol"/>
        </w:rPr>
        <w:t>️</w:t>
      </w:r>
      <w:r w:rsidRPr="00D172FB">
        <w:rPr>
          <w:lang w:val="pt-BR"/>
        </w:rPr>
        <w:t xml:space="preserve"> </w:t>
      </w:r>
      <w:r w:rsidRPr="00D172FB">
        <w:rPr>
          <w:b/>
          <w:bCs/>
          <w:lang w:val="pt-BR"/>
        </w:rPr>
        <w:t>Nota Prática:</w:t>
      </w:r>
      <w:r w:rsidRPr="00D172FB">
        <w:rPr>
          <w:lang w:val="pt-BR"/>
        </w:rPr>
        <w:t xml:space="preserve"> Mesmo que a potência te permita um sistema monofásico, se a residência possuir um chuveiro de </w:t>
      </w:r>
      <w:r w:rsidRPr="00D172FB">
        <w:rPr>
          <w:rStyle w:val="math-inline"/>
          <w:lang w:val="pt-BR"/>
        </w:rPr>
        <w:t>$220\</w:t>
      </w:r>
      <w:proofErr w:type="gramStart"/>
      <w:r w:rsidRPr="00D172FB">
        <w:rPr>
          <w:rStyle w:val="math-inline"/>
          <w:lang w:val="pt-BR"/>
        </w:rPr>
        <w:t>text{ V</w:t>
      </w:r>
      <w:proofErr w:type="gramEnd"/>
      <w:r w:rsidRPr="00D172FB">
        <w:rPr>
          <w:rStyle w:val="math-inline"/>
          <w:lang w:val="pt-BR"/>
        </w:rPr>
        <w:t>}$</w:t>
      </w:r>
      <w:r w:rsidRPr="00D172FB">
        <w:rPr>
          <w:lang w:val="pt-BR"/>
        </w:rPr>
        <w:t xml:space="preserve"> bifásico, a concessionária exigirá pelo menos o padrão </w:t>
      </w:r>
      <w:r w:rsidRPr="00D172FB">
        <w:rPr>
          <w:b/>
          <w:bCs/>
          <w:lang w:val="pt-BR"/>
        </w:rPr>
        <w:t>bifásico</w:t>
      </w:r>
      <w:r w:rsidRPr="00D172FB">
        <w:rPr>
          <w:lang w:val="pt-BR"/>
        </w:rPr>
        <w:t>.</w:t>
      </w:r>
    </w:p>
    <w:p w:rsidR="00826EBE" w:rsidRDefault="00826EBE" w:rsidP="00D172FB">
      <w:pPr>
        <w:jc w:val="both"/>
      </w:pPr>
    </w:p>
    <w:p w:rsidR="008D54EB" w:rsidRDefault="008D54EB" w:rsidP="00D172FB">
      <w:pPr>
        <w:jc w:val="both"/>
      </w:pPr>
    </w:p>
    <w:p w:rsidR="008D54EB" w:rsidRDefault="008D54EB" w:rsidP="00D172FB">
      <w:pPr>
        <w:jc w:val="both"/>
      </w:pPr>
    </w:p>
    <w:p w:rsidR="008D54EB" w:rsidRDefault="008D54EB" w:rsidP="00D172FB">
      <w:pPr>
        <w:jc w:val="both"/>
      </w:pPr>
    </w:p>
    <w:sectPr w:rsidR="008D5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numPicBullet w:numPicBulletId="1">
    <w:pict>
      <v:rect id="_x0000_i1030" style="width:0;height:1.5pt" o:hralign="center" o:bullet="t" o:hrstd="t" o:hr="t" fillcolor="#a0a0a0" stroked="f"/>
    </w:pict>
  </w:numPicBullet>
  <w:numPicBullet w:numPicBulletId="2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39A63AA"/>
    <w:multiLevelType w:val="multilevel"/>
    <w:tmpl w:val="2EDAA96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DFA5E51"/>
    <w:multiLevelType w:val="multilevel"/>
    <w:tmpl w:val="0A1A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539B9"/>
    <w:multiLevelType w:val="multilevel"/>
    <w:tmpl w:val="79E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65435"/>
    <w:multiLevelType w:val="multilevel"/>
    <w:tmpl w:val="60F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D1E19"/>
    <w:multiLevelType w:val="multilevel"/>
    <w:tmpl w:val="BB7E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929EB"/>
    <w:multiLevelType w:val="multilevel"/>
    <w:tmpl w:val="8C8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E1013"/>
    <w:multiLevelType w:val="multilevel"/>
    <w:tmpl w:val="96DA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E7F82"/>
    <w:multiLevelType w:val="multilevel"/>
    <w:tmpl w:val="CB6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628A4"/>
    <w:multiLevelType w:val="multilevel"/>
    <w:tmpl w:val="89DC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E2225"/>
    <w:multiLevelType w:val="multilevel"/>
    <w:tmpl w:val="384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62DF9"/>
    <w:multiLevelType w:val="multilevel"/>
    <w:tmpl w:val="B8C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8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2"/>
  </w:num>
  <w:num w:numId="9">
    <w:abstractNumId w:val="6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B"/>
    <w:rsid w:val="001024BF"/>
    <w:rsid w:val="00743304"/>
    <w:rsid w:val="00826EBE"/>
    <w:rsid w:val="008D54EB"/>
    <w:rsid w:val="00963677"/>
    <w:rsid w:val="00A77A2C"/>
    <w:rsid w:val="00D172FB"/>
    <w:rsid w:val="00D5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225194-321C-4502-8893-0E127B7F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4EB"/>
  </w:style>
  <w:style w:type="paragraph" w:styleId="Ttulo2">
    <w:name w:val="heading 2"/>
    <w:basedOn w:val="Normal"/>
    <w:link w:val="Ttulo2Char"/>
    <w:uiPriority w:val="9"/>
    <w:qFormat/>
    <w:rsid w:val="00826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har"/>
    <w:uiPriority w:val="9"/>
    <w:qFormat/>
    <w:rsid w:val="00826E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5347B"/>
    <w:rPr>
      <w:b/>
      <w:bCs/>
    </w:rPr>
  </w:style>
  <w:style w:type="character" w:customStyle="1" w:styleId="t286pc">
    <w:name w:val="t286pc"/>
    <w:basedOn w:val="Fontepargpadro"/>
    <w:rsid w:val="00D5347B"/>
  </w:style>
  <w:style w:type="character" w:customStyle="1" w:styleId="Ttulo2Char">
    <w:name w:val="Título 2 Char"/>
    <w:basedOn w:val="Fontepargpadro"/>
    <w:link w:val="Ttulo2"/>
    <w:uiPriority w:val="9"/>
    <w:rsid w:val="00826EB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826EB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2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ath-inline">
    <w:name w:val="math-inline"/>
    <w:basedOn w:val="Fontepargpadro"/>
    <w:rsid w:val="00826EBE"/>
  </w:style>
  <w:style w:type="character" w:styleId="CdigoHTML">
    <w:name w:val="HTML Code"/>
    <w:basedOn w:val="Fontepargpadro"/>
    <w:uiPriority w:val="99"/>
    <w:semiHidden/>
    <w:unhideWhenUsed/>
    <w:rsid w:val="008D54EB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8D5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3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5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6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8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5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9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2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Pereira Santos Filho</dc:creator>
  <cp:keywords/>
  <dc:description/>
  <cp:lastModifiedBy>Antonio Pereira Santos Filho</cp:lastModifiedBy>
  <cp:revision>2</cp:revision>
  <dcterms:created xsi:type="dcterms:W3CDTF">2026-07-06T13:11:00Z</dcterms:created>
  <dcterms:modified xsi:type="dcterms:W3CDTF">2026-07-06T13:11:00Z</dcterms:modified>
</cp:coreProperties>
</file>