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B3A6B"/>
          <w:sz w:val="44"/>
          <w:szCs w:val="44"/>
        </w:rPr>
        <w:t xml:space="preserve">P0G: B2B CHANNEL</w:t>
      </w:r>
    </w:p>
    <w:p>
      <w:pPr>
        <w:spacing w:after="200"/>
        <w:jc w:val="center"/>
      </w:pPr>
      <w:r>
        <w:rPr>
          <w:rFonts w:ascii="Arial" w:cs="Arial" w:eastAsia="Arial" w:hAnsi="Arial"/>
          <w:b/>
          <w:bCs/>
          <w:color w:val="1B3A6B"/>
          <w:sz w:val="44"/>
          <w:szCs w:val="44"/>
        </w:rPr>
        <w:t xml:space="preserve">INTELLIGENCE</w:t>
      </w:r>
    </w:p>
    <w:p>
      <w:pPr>
        <w:pBdr>
          <w:bottom w:val="single" w:color="2E5090" w:sz="6" w:space="12"/>
        </w:pBdr>
        <w:spacing w:after="100"/>
        <w:jc w:val="center"/>
      </w:pPr>
      <w:r>
        <w:rPr>
          <w:rFonts w:ascii="Arial" w:cs="Arial" w:eastAsia="Arial" w:hAnsi="Arial"/>
          <w:color w:val="666666"/>
          <w:sz w:val="24"/>
          <w:szCs w:val="24"/>
        </w:rPr>
        <w:t xml:space="preserve">Sub-Project P0G  |  Market Research &amp; Concept Validation  |  Weeks 6–12</w:t>
      </w:r>
    </w:p>
    <w:p>
      <w:pPr>
        <w:spacing w:before="400"/>
        <w:jc w:val="center"/>
      </w:pPr>
      <w:r>
        <w:rPr>
          <w:rFonts w:ascii="Arial" w:cs="Arial" w:eastAsia="Arial" w:hAnsi="Arial"/>
          <w:i/>
          <w:iCs/>
          <w:color w:val="888888"/>
          <w:sz w:val="22"/>
          <w:szCs w:val="22"/>
        </w:rPr>
        <w:t xml:space="preserve">Complete B2B Distribution, Retail, Expo, Registration, Sponsorship &amp; International Channel Playbook</w:t>
      </w:r>
    </w:p>
    <w:p>
      <w:pPr>
        <w:spacing w:before="600"/>
        <w:jc w:val="center"/>
      </w:pPr>
      <w:r>
        <w:rPr>
          <w:rFonts w:ascii="Arial" w:cs="Arial" w:eastAsia="Arial" w:hAnsi="Arial"/>
          <w:color w:val="888888"/>
          <w:sz w:val="22"/>
          <w:szCs w:val="22"/>
        </w:rPr>
        <w:t xml:space="preserve">March 2026  |  Confidential</w:t>
      </w:r>
    </w:p>
    <w:p>
      <w:r>
        <w:br w:type="page"/>
      </w:r>
    </w:p>
    <w:p>
      <w:pPr>
        <w:pStyle w:val="Heading1"/>
        <w:spacing w:before="360" w:after="200"/>
      </w:pPr>
      <w:r>
        <w:rPr>
          <w:rFonts w:ascii="Arial" w:cs="Arial" w:eastAsia="Arial" w:hAnsi="Arial"/>
        </w:rPr>
        <w:t xml:space="preserve">Executive Summary</w:t>
      </w:r>
    </w:p>
    <w:p>
      <w:pPr>
        <w:spacing w:after="160"/>
      </w:pPr>
      <w:r>
        <w:rPr>
          <w:rFonts w:ascii="Arial" w:cs="Arial" w:eastAsia="Arial" w:hAnsi="Arial"/>
          <w:b/>
          <w:bCs/>
          <w:i w:val="false"/>
          <w:iCs w:val="false"/>
          <w:color w:val="000000"/>
          <w:sz w:val="22"/>
          <w:szCs w:val="22"/>
        </w:rPr>
        <w:t xml:space="preserve">Eight distinct B2B channels can deliver the compostable warmth poncho to race directors and runners. </w:t>
      </w:r>
      <w:r>
        <w:rPr>
          <w:rFonts w:ascii="Arial" w:cs="Arial" w:eastAsia="Arial" w:hAnsi="Arial"/>
          <w:b w:val="false"/>
          <w:bCs w:val="false"/>
          <w:i w:val="false"/>
          <w:iCs w:val="false"/>
          <w:color w:val="000000"/>
          <w:sz w:val="22"/>
          <w:szCs w:val="22"/>
        </w:rPr>
        <w:t xml:space="preserve">Registration add-ons via RunSignUp (50%+ US market share) offer the highest margin at 56–60% net with near-zero fixed costs. Fleet Feet’s vendor partner program (280+ stores, 19 brands, history of launching HOKA and On) provides specialty retail credibility. Marathon expos deliver brand awareness and race-director networking despite thin direct margins. Sustainability certifications (CRS, Racing for Sustainability) serve as powerful B2B selling tools — the poncho directly earns credit under CRS waste management criteria.</w:t>
      </w:r>
    </w:p>
    <w:p>
      <w:r>
        <w:br w:type="page"/>
      </w:r>
    </w:p>
    <w:p>
      <w:pPr>
        <w:pStyle w:val="Heading1"/>
        <w:spacing w:before="360" w:after="200"/>
      </w:pPr>
      <w:r>
        <w:rPr>
          <w:rFonts w:ascii="Arial" w:cs="Arial" w:eastAsia="Arial" w:hAnsi="Arial"/>
        </w:rPr>
        <w:t xml:space="preserve">1. Complete B2B Channel Map</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600"/>
        <w:gridCol w:w="1600"/>
        <w:gridCol w:w="18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Channel</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How It Works</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Economics</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Terms/Access</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Who Uses It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Direct B2B (Heatsheets model)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Race directors via email/phone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Highest margin; relationship-driven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Net 30; 3,000+ MOQ for custom print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World Marathon Majors, 10K+ events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Registration Add-Ons (RunSignUp)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Integrated into registration flow</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56–60% net margin; 6% + $1/cart fee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Race director configures; vendor fulfills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 of US races use RunSignUp</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Registration Add-Ons (ACTIVE.com)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Vendor portal with auto revenue share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Similar margin; ~$0.99 + 5.9% fee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Dedicated vendor portal</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47K+ organizations; 93M+ registrations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Specialty Retail (Fleet Feet)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280+ stores; vendor partner program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50–60% retail margin required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Central buying team + store-level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19 vendor partners; launched HOKA, On</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Marathon Expos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Booth sales at pre-race expos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High brand awareness; thin/negative margin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$2,100–$19,100 all-in per expo</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NYC: 100K+ visitors; 79% purchase rate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Race Supply Distributors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MDS Associates, Universal Packaging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15–25% distributor margin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Standard wholesale terms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Small/mid-size races without direct relationships</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Amazon Business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B2B purchasing portal</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Amazon fees apply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Standard Amazon terms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Small races using Amazon for procurement</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Trade Shows (TRE, Running USA)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Industry events for B2B networking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Investment in relationships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$425–$15K per event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357 exhibitors at TRE 2025</w:t>
            </w:r>
          </w:p>
        </w:tc>
      </w:tr>
    </w:tbl>
    <w:p>
      <w:pPr>
        <w:spacing w:before="200"/>
      </w:pPr>
    </w:p>
    <w:p>
      <w:pPr>
        <w:spacing w:after="160"/>
      </w:pPr>
      <w:r>
        <w:rPr>
          <w:rFonts w:ascii="Arial" w:cs="Arial" w:eastAsia="Arial" w:hAnsi="Arial"/>
          <w:b/>
          <w:bCs/>
          <w:i w:val="false"/>
          <w:iCs w:val="false"/>
          <w:color w:val="000000"/>
          <w:sz w:val="22"/>
          <w:szCs w:val="22"/>
        </w:rPr>
        <w:t xml:space="preserve">Channel priority ranking: </w:t>
      </w:r>
      <w:r>
        <w:rPr>
          <w:rFonts w:ascii="Arial" w:cs="Arial" w:eastAsia="Arial" w:hAnsi="Arial"/>
          <w:b w:val="false"/>
          <w:bCs w:val="false"/>
          <w:i w:val="false"/>
          <w:iCs w:val="false"/>
          <w:color w:val="000000"/>
          <w:sz w:val="22"/>
          <w:szCs w:val="22"/>
        </w:rPr>
        <w:t xml:space="preserve">(1) Registration add-ons — highest margin, lowest fixed cost; (2) Direct B2B to race directors — relationship-driven, highest volume per deal; (3) Fleet Feet retail — brand credibility + consumer trial; (4) Expos — brand awareness + B2B networking; (5) Trade shows — industry relationship building; (6) Distributors — reach for small races; (7) Amazon Business — passive B2B; (8) International — Year 2+ expansion.</w:t>
      </w:r>
    </w:p>
    <w:p>
      <w:r>
        <w:br w:type="page"/>
      </w:r>
    </w:p>
    <w:p>
      <w:pPr>
        <w:pStyle w:val="Heading1"/>
        <w:spacing w:before="360" w:after="200"/>
      </w:pPr>
      <w:r>
        <w:rPr>
          <w:rFonts w:ascii="Arial" w:cs="Arial" w:eastAsia="Arial" w:hAnsi="Arial"/>
        </w:rPr>
        <w:t xml:space="preserve">2. Race Supply Distribution: How Products Actually Reach Races</w:t>
      </w:r>
    </w:p>
    <w:p>
      <w:pPr>
        <w:pStyle w:val="Heading2"/>
        <w:spacing w:before="280" w:after="160"/>
      </w:pPr>
      <w:r>
        <w:rPr>
          <w:rFonts w:ascii="Arial" w:cs="Arial" w:eastAsia="Arial" w:hAnsi="Arial"/>
        </w:rPr>
        <w:t xml:space="preserve">2.1 The Heatsheets Direct-Sales Model</w:t>
      </w:r>
    </w:p>
    <w:p>
      <w:pPr>
        <w:spacing w:after="160"/>
      </w:pPr>
      <w:r>
        <w:rPr>
          <w:rFonts w:ascii="Arial" w:cs="Arial" w:eastAsia="Arial" w:hAnsi="Arial"/>
          <w:b w:val="false"/>
          <w:bCs w:val="false"/>
          <w:i w:val="false"/>
          <w:iCs w:val="false"/>
          <w:color w:val="000000"/>
          <w:sz w:val="22"/>
          <w:szCs w:val="22"/>
        </w:rPr>
        <w:t xml:space="preserve">Heatsheets (Advanced Flexible Materials) sells primarily direct to race organizers via email and phone relationships built over 45+ years. Their webshop (shop.heatsheets.com) serves smaller orders; bulk orders (15+ cartons / 3,000+ blankets) require emailing info@heatsheets.com for tiered pricing. Custom-printed blankets require 3,000-unit MOQ. All products are produced, printed, and converted in North America. Free shipping on orders under 120 lbs to US addresses.</w:t>
      </w:r>
    </w:p>
    <w:p>
      <w:pPr>
        <w:spacing w:after="160"/>
      </w:pPr>
      <w:r>
        <w:rPr>
          <w:rFonts w:ascii="Arial" w:cs="Arial" w:eastAsia="Arial" w:hAnsi="Arial"/>
          <w:b/>
          <w:bCs/>
          <w:i w:val="false"/>
          <w:iCs w:val="false"/>
          <w:color w:val="000000"/>
          <w:sz w:val="22"/>
          <w:szCs w:val="22"/>
        </w:rPr>
        <w:t xml:space="preserve">Key insight: </w:t>
      </w:r>
      <w:r>
        <w:rPr>
          <w:rFonts w:ascii="Arial" w:cs="Arial" w:eastAsia="Arial" w:hAnsi="Arial"/>
          <w:b w:val="false"/>
          <w:bCs w:val="false"/>
          <w:i w:val="false"/>
          <w:iCs w:val="false"/>
          <w:color w:val="000000"/>
          <w:sz w:val="22"/>
          <w:szCs w:val="22"/>
        </w:rPr>
        <w:t xml:space="preserve">Heatsheets’ model is relationship-driven with high switching costs. Race directors reorder annually from established contacts. Breaking in requires offering something Heatsheets cannot: compostability + CRS certification credit + sponsor sustainability narrative.</w:t>
      </w:r>
    </w:p>
    <w:p>
      <w:pPr>
        <w:pStyle w:val="Heading2"/>
        <w:spacing w:before="280" w:after="160"/>
      </w:pPr>
      <w:r>
        <w:rPr>
          <w:rFonts w:ascii="Arial" w:cs="Arial" w:eastAsia="Arial" w:hAnsi="Arial"/>
        </w:rPr>
        <w:t xml:space="preserve">2.2 MDS Associates: Medical/Safety Distributor</w:t>
      </w:r>
    </w:p>
    <w:p>
      <w:pPr>
        <w:spacing w:after="160"/>
      </w:pPr>
      <w:r>
        <w:rPr>
          <w:rFonts w:ascii="Arial" w:cs="Arial" w:eastAsia="Arial" w:hAnsi="Arial"/>
          <w:b w:val="false"/>
          <w:bCs w:val="false"/>
          <w:i w:val="false"/>
          <w:iCs w:val="false"/>
          <w:color w:val="000000"/>
          <w:sz w:val="22"/>
          <w:szCs w:val="22"/>
        </w:rPr>
        <w:t xml:space="preserve">MDS Associates (mdsassociates.com) is a wholesale safety and medical supply distributor that resells generic mylar/foil blankets (Dynarex brand) and other emergency supplies to races, EMS, and event organizers. They do NOT carry Heatsheets. Their role: serving small/mid-size races that buy generic blankets at $0.60–$0.81/unit rather than premium Heatsheets at $1.43+. MDS operates on standard distributor margins of 15–25%.</w:t>
      </w:r>
    </w:p>
    <w:p>
      <w:pPr>
        <w:pStyle w:val="Heading2"/>
        <w:spacing w:before="280" w:after="160"/>
      </w:pPr>
      <w:r>
        <w:rPr>
          <w:rFonts w:ascii="Arial" w:cs="Arial" w:eastAsia="Arial" w:hAnsi="Arial"/>
        </w:rPr>
        <w:t xml:space="preserve">2.3 Universal Marathon Blankets (UMB)</w:t>
      </w:r>
    </w:p>
    <w:p>
      <w:pPr>
        <w:spacing w:after="160"/>
      </w:pPr>
      <w:r>
        <w:rPr>
          <w:rFonts w:ascii="Arial" w:cs="Arial" w:eastAsia="Arial" w:hAnsi="Arial"/>
          <w:b w:val="false"/>
          <w:bCs w:val="false"/>
          <w:i w:val="false"/>
          <w:iCs w:val="false"/>
          <w:color w:val="000000"/>
          <w:sz w:val="22"/>
          <w:szCs w:val="22"/>
        </w:rPr>
        <w:t xml:space="preserve">Universal Packaging (direct.univpack.com) sells pre-cut 48″×72″ marathon blankets in bulk at $0.60–$0.70/unit (250-count rolls). They are the primary budget alternative to Heatsheets, used by cost-conscious races that prioritize price over branding. UMB blankets are NOT recyclable through the Heatsheets/Trex partnership — they end up in landfill.</w:t>
      </w:r>
    </w:p>
    <w:p>
      <w:pPr>
        <w:pStyle w:val="Heading2"/>
        <w:spacing w:before="280" w:after="160"/>
      </w:pPr>
      <w:r>
        <w:rPr>
          <w:rFonts w:ascii="Arial" w:cs="Arial" w:eastAsia="Arial" w:hAnsi="Arial"/>
        </w:rPr>
        <w:t xml:space="preserve">2.4 Small vs. Large Race Procurement</w:t>
      </w:r>
    </w:p>
    <w:p>
      <w:pPr>
        <w:spacing w:after="160"/>
      </w:pPr>
      <w:r>
        <w:rPr>
          <w:rFonts w:ascii="Arial" w:cs="Arial" w:eastAsia="Arial" w:hAnsi="Arial"/>
          <w:b w:val="false"/>
          <w:bCs w:val="false"/>
          <w:i w:val="false"/>
          <w:iCs w:val="false"/>
          <w:color w:val="000000"/>
          <w:sz w:val="22"/>
          <w:szCs w:val="22"/>
        </w:rPr>
        <w:t xml:space="preserve">Small races (&lt;1,000 runners): single race director makes all purchasing decisions; buys via Amazon Business, local medical supply, or direct from UMB. Budget: $5K–$10K total. Mid-size (1,000–5,000): race director + small committee; mix of direct purchases and distributor relationships. Large (10,000+): dedicated operations staff; long-term vendor contracts; 6–12 month procurement cycles; Heatsheets-style direct relationships.</w:t>
      </w:r>
    </w:p>
    <w:p>
      <w:r>
        <w:br w:type="page"/>
      </w:r>
    </w:p>
    <w:p>
      <w:pPr>
        <w:pStyle w:val="Heading1"/>
        <w:spacing w:before="360" w:after="200"/>
      </w:pPr>
      <w:r>
        <w:rPr>
          <w:rFonts w:ascii="Arial" w:cs="Arial" w:eastAsia="Arial" w:hAnsi="Arial"/>
        </w:rPr>
        <w:t xml:space="preserve">3. Registration Platform Integration: The Highest-Margin Channel</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000"/>
        <w:gridCol w:w="1800"/>
        <w:gridCol w:w="24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Platform</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Market Position</w:t>
            </w:r>
          </w:p>
        </w:tc>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Fees</w:t>
            </w:r>
          </w:p>
        </w:tc>
        <w:tc>
          <w:tcPr>
            <w:tcW w:type="dxa" w:w="1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Merchandise Options</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Vendor Integration</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RunSignUp</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50%+ US market share; 39K+ events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 + $1/cart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Add-Ons (registrants only) + Store (public)</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Race director configures per-race; no cross-race auto-listing</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ACTIVE.com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47K+ orgs; 93M+ registrations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~$0.99 + 5.9%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Dedicated vendor portal with revenue share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Third-party vendors get own portal; more automated</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Race Roster</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4,000+ organizers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~$1.75 + 6%</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Merchandise during registration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Growing platform; strong in Canada</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Race Entry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Growing US presence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4.97% + $1.25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Add-on merchandise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Smaller but expanding</w:t>
            </w:r>
          </w:p>
        </w:tc>
      </w:tr>
    </w:tbl>
    <w:p>
      <w:pPr>
        <w:spacing w:before="200"/>
      </w:pPr>
    </w:p>
    <w:p>
      <w:pPr>
        <w:pStyle w:val="Heading2"/>
        <w:spacing w:before="280" w:after="160"/>
      </w:pPr>
      <w:r>
        <w:rPr>
          <w:rFonts w:ascii="Arial" w:cs="Arial" w:eastAsia="Arial" w:hAnsi="Arial"/>
        </w:rPr>
        <w:t xml:space="preserve">3.1 RunSignUp Add-On Technical Setup</w:t>
      </w:r>
    </w:p>
    <w:p>
      <w:pPr>
        <w:spacing w:after="160"/>
      </w:pPr>
      <w:r>
        <w:rPr>
          <w:rFonts w:ascii="Arial" w:cs="Arial" w:eastAsia="Arial" w:hAnsi="Arial"/>
          <w:b w:val="false"/>
          <w:bCs w:val="false"/>
          <w:i w:val="false"/>
          <w:iCs w:val="false"/>
          <w:color w:val="000000"/>
          <w:sz w:val="22"/>
          <w:szCs w:val="22"/>
        </w:rPr>
        <w:t xml:space="preserve">RunSignUp offers three merchandise systems: Giveaways (free, one per event), Add-Ons (optional during/after registration, registrants only), and Store (standalone e-commerce for anyone). A third-party vendor CANNOT auto-list across multiple races — each race director must individually configure the add-on in their dashboard under Race &gt; Giveaways/Add-Ons &gt; Registration Add Ons.</w:t>
      </w:r>
    </w:p>
    <w:p>
      <w:pPr>
        <w:spacing w:after="160"/>
      </w:pPr>
      <w:r>
        <w:rPr>
          <w:rFonts w:ascii="Arial" w:cs="Arial" w:eastAsia="Arial" w:hAnsi="Arial"/>
          <w:b/>
          <w:bCs/>
          <w:i w:val="false"/>
          <w:iCs w:val="false"/>
          <w:color w:val="000000"/>
          <w:sz w:val="22"/>
          <w:szCs w:val="22"/>
        </w:rPr>
        <w:t xml:space="preserve">Practical implication: </w:t>
      </w:r>
      <w:r>
        <w:rPr>
          <w:rFonts w:ascii="Arial" w:cs="Arial" w:eastAsia="Arial" w:hAnsi="Arial"/>
          <w:b w:val="false"/>
          <w:bCs w:val="false"/>
          <w:i w:val="false"/>
          <w:iCs w:val="false"/>
          <w:color w:val="000000"/>
          <w:sz w:val="22"/>
          <w:szCs w:val="22"/>
        </w:rPr>
        <w:t xml:space="preserve">You must sell the concept to each race director individually, then provide them with product images, descriptions, and pricing to configure in their RunSignUp dashboard. This is a relationship sale, not a platform listing. The vendor receives purchase data through the race director’s participant reports (exportable to CSV, Google Sheets, Excel).</w:t>
      </w:r>
    </w:p>
    <w:p>
      <w:pPr>
        <w:pStyle w:val="Heading2"/>
        <w:spacing w:before="280" w:after="160"/>
      </w:pPr>
      <w:r>
        <w:rPr>
          <w:rFonts w:ascii="Arial" w:cs="Arial" w:eastAsia="Arial" w:hAnsi="Arial"/>
        </w:rPr>
        <w:t xml:space="preserve">3.2 Fulfillment: Packet Pickup vs. Direct Ship</w:t>
      </w:r>
    </w:p>
    <w:p>
      <w:pPr>
        <w:spacing w:after="160"/>
      </w:pPr>
      <w:r>
        <w:rPr>
          <w:rFonts w:ascii="Arial" w:cs="Arial" w:eastAsia="Arial" w:hAnsi="Arial"/>
          <w:b w:val="false"/>
          <w:bCs w:val="false"/>
          <w:i w:val="false"/>
          <w:iCs w:val="false"/>
          <w:color w:val="000000"/>
          <w:sz w:val="22"/>
          <w:szCs w:val="22"/>
        </w:rPr>
        <w:t xml:space="preserve">Two models: (A) Bulk-ship to race venue for inclusion in bib packet pickup — $1.00–$1.20/unit fulfillment, requires coordination with race logistics team. (B) Direct-ship to individual runners — $4.00–$5.00/unit shipping, margin-destructive. Model A is strongly preferred for races with mandatory in-person packet pickup (most majors). Model B works for virtual add-on purchases at races with mail-out options.</w:t>
      </w:r>
    </w:p>
    <w:p>
      <w:pPr>
        <w:pStyle w:val="Heading2"/>
        <w:spacing w:before="280" w:after="160"/>
      </w:pPr>
      <w:r>
        <w:rPr>
          <w:rFonts w:ascii="Arial" w:cs="Arial" w:eastAsia="Arial" w:hAnsi="Arial"/>
        </w:rPr>
        <w:t xml:space="preserve">3.3 ACTIVE.com Vendor Portal Advantage</w:t>
      </w:r>
    </w:p>
    <w:p>
      <w:pPr>
        <w:spacing w:after="160"/>
      </w:pPr>
      <w:r>
        <w:rPr>
          <w:rFonts w:ascii="Arial" w:cs="Arial" w:eastAsia="Arial" w:hAnsi="Arial"/>
          <w:b w:val="false"/>
          <w:bCs w:val="false"/>
          <w:i w:val="false"/>
          <w:iCs w:val="false"/>
          <w:color w:val="000000"/>
          <w:sz w:val="22"/>
          <w:szCs w:val="22"/>
        </w:rPr>
        <w:t xml:space="preserve">ACTIVE.com’s vendor portal offers a more automated integration than RunSignUp. Third-party vendors log into their own portal to check sales and fulfill orders, with automatic revenue sharing. This makes ACTIVE the more natural platform partner for scaling across many races. However, RunSignUp’s 50%+ market share makes it the volume priority.</w:t>
      </w:r>
    </w:p>
    <w:p>
      <w:r>
        <w:br w:type="page"/>
      </w:r>
    </w:p>
    <w:p>
      <w:pPr>
        <w:pStyle w:val="Heading1"/>
        <w:spacing w:before="360" w:after="200"/>
      </w:pPr>
      <w:r>
        <w:rPr>
          <w:rFonts w:ascii="Arial" w:cs="Arial" w:eastAsia="Arial" w:hAnsi="Arial"/>
        </w:rPr>
        <w:t xml:space="preserve">4. Fleet Feet: The Critical Specialty Retail Channel</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6000"/>
      </w:tblGrid>
      <w:tr>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Attribute</w:t>
            </w:r>
          </w:p>
        </w:tc>
        <w:tc>
          <w:tcPr>
            <w:tcW w:type="dxa" w:w="6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Store count</w:t>
            </w:r>
          </w:p>
        </w:tc>
        <w:tc>
          <w:tcPr>
            <w:tcW w:type="dxa" w:w="6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280+ stores across 40 US states (incl. JackRabbit + Marathon Sports acquisitions)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Vendor Partner Program</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19 footwear, apparel &amp; accessories brands; history of launching HOKA, Karhu, On, hylo athletics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Buying structure</w:t>
            </w:r>
          </w:p>
        </w:tc>
        <w:tc>
          <w:tcPr>
            <w:tcW w:type="dxa" w:w="6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Central buying team for vendor partners; individual franchisees also purchase from approved vendors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Margin requirement</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50–60% retail margin (keystone or higher); accessories often 55–65%</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New brand entry</w:t>
            </w:r>
          </w:p>
        </w:tc>
        <w:tc>
          <w:tcPr>
            <w:tcW w:type="dxa" w:w="6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Submit via vendor partner program application; sustainability-focused brands have advantage (hylo partnership Nov 2024)</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Community programs</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Weekly group runs at every location; training programs; charity partnerships; product sampling opportunities</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CEO</w:t>
            </w:r>
          </w:p>
        </w:tc>
        <w:tc>
          <w:tcPr>
            <w:tcW w:type="dxa" w:w="6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Joey Pointer; CRO Jenny Simpson (appointed early 2026)</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Key insight</w:t>
            </w:r>
          </w:p>
        </w:tc>
        <w:tc>
          <w:tcPr>
            <w:tcW w:type="dxa" w:w="6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Fleet Feet explicitly seeks emerging brands with sustainability stories — the hylo athletics partnership was driven by hylo’s “run like the world depends on it” mission</w:t>
            </w:r>
          </w:p>
        </w:tc>
      </w:tr>
    </w:tbl>
    <w:p>
      <w:pPr>
        <w:spacing w:before="200"/>
      </w:pPr>
    </w:p>
    <w:p>
      <w:pPr>
        <w:spacing w:after="160"/>
      </w:pPr>
      <w:r>
        <w:rPr>
          <w:rFonts w:ascii="Arial" w:cs="Arial" w:eastAsia="Arial" w:hAnsi="Arial"/>
          <w:b/>
          <w:bCs/>
          <w:i w:val="false"/>
          <w:iCs w:val="false"/>
          <w:color w:val="000000"/>
          <w:sz w:val="22"/>
          <w:szCs w:val="22"/>
        </w:rPr>
        <w:t xml:space="preserve">Entry strategy: </w:t>
      </w:r>
      <w:r>
        <w:rPr>
          <w:rFonts w:ascii="Arial" w:cs="Arial" w:eastAsia="Arial" w:hAnsi="Arial"/>
          <w:b w:val="false"/>
          <w:bCs w:val="false"/>
          <w:i w:val="false"/>
          <w:iCs w:val="false"/>
          <w:color w:val="000000"/>
          <w:sz w:val="22"/>
          <w:szCs w:val="22"/>
        </w:rPr>
        <w:t xml:space="preserve">Fleet Feet’s vendor partner program explicitly seeks sustainability-focused emerging brands. The Nov 2024 hylo athletics partnership was driven entirely by hylo’s environmental mission. A compostable warmth poncho aligns perfectly with Fleet Feet’s stated values. Approach: submit via vendor partner program application; emphasize sustainability story + marathon community relevance + category innovation (no competing product in their assortment).</w:t>
      </w:r>
    </w:p>
    <w:p>
      <w:pPr>
        <w:pStyle w:val="Heading2"/>
        <w:spacing w:before="280" w:after="160"/>
      </w:pPr>
      <w:r>
        <w:rPr>
          <w:rFonts w:ascii="Arial" w:cs="Arial" w:eastAsia="Arial" w:hAnsi="Arial"/>
        </w:rPr>
        <w:t xml:space="preserve">4.1 Margin and Pricing for Fleet Feet</w:t>
      </w:r>
    </w:p>
    <w:p>
      <w:pPr>
        <w:spacing w:after="160"/>
      </w:pPr>
      <w:r>
        <w:rPr>
          <w:rFonts w:ascii="Arial" w:cs="Arial" w:eastAsia="Arial" w:hAnsi="Arial"/>
          <w:b w:val="false"/>
          <w:bCs w:val="false"/>
          <w:i w:val="false"/>
          <w:iCs w:val="false"/>
          <w:color w:val="000000"/>
          <w:sz w:val="22"/>
          <w:szCs w:val="22"/>
        </w:rPr>
        <w:t xml:space="preserve">Fleet Feet requires 50–60% retail margin on accessories. At $9.99 retail, wholesale must be $4.00–$5.00. With COGS of $1.59–$1.94, this yields 61–75% vendor gross margin. Minimum initial order: typically 2–6 units per store for trial; Fleet Feet has 280+ stores, so a national rollout could mean 560–1,680 units for initial placement.</w:t>
      </w:r>
    </w:p>
    <w:p>
      <w:pPr>
        <w:pStyle w:val="Heading2"/>
        <w:spacing w:before="280" w:after="160"/>
      </w:pPr>
      <w:r>
        <w:rPr>
          <w:rFonts w:ascii="Arial" w:cs="Arial" w:eastAsia="Arial" w:hAnsi="Arial"/>
        </w:rPr>
        <w:t xml:space="preserve">4.2 Other Specialty Retail</w:t>
      </w:r>
    </w:p>
    <w:p>
      <w:pPr>
        <w:spacing w:after="160"/>
      </w:pPr>
      <w:r>
        <w:rPr>
          <w:rFonts w:ascii="Arial" w:cs="Arial" w:eastAsia="Arial" w:hAnsi="Arial"/>
          <w:b w:val="false"/>
          <w:bCs w:val="false"/>
          <w:i w:val="false"/>
          <w:iCs w:val="false"/>
          <w:color w:val="000000"/>
          <w:sz w:val="22"/>
          <w:szCs w:val="22"/>
        </w:rPr>
        <w:t xml:space="preserve">REI: submit via rei.com/vendor-relations; REI requires minimum 50% margin and strong sustainability credentials (important for their stewardship brand). Dick’s Sporting Goods: less relevant (not specialty running). Independent running stores: ~300–500 remaining US independents; approach via sales rep or direct outreach at TRE.</w:t>
      </w:r>
    </w:p>
    <w:p>
      <w:r>
        <w:br w:type="page"/>
      </w:r>
    </w:p>
    <w:p>
      <w:pPr>
        <w:pStyle w:val="Heading1"/>
        <w:spacing w:before="360" w:after="200"/>
      </w:pPr>
      <w:r>
        <w:rPr>
          <w:rFonts w:ascii="Arial" w:cs="Arial" w:eastAsia="Arial" w:hAnsi="Arial"/>
        </w:rPr>
        <w:t xml:space="preserve">5. Marathon Expo Vendor Programs</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900"/>
        <w:gridCol w:w="1200"/>
        <w:gridCol w:w="800"/>
        <w:gridCol w:w="12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Expo</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Venue</w:t>
            </w:r>
          </w:p>
        </w:tc>
        <w:tc>
          <w:tcPr>
            <w:tcW w:type="dxa" w:w="9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Est. Visitors</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Booth Cost</w:t>
            </w:r>
          </w:p>
        </w:tc>
        <w:tc>
          <w:tcPr>
            <w:tcW w:type="dxa" w:w="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Deadline</w:t>
            </w:r>
          </w:p>
        </w:tc>
        <w:tc>
          <w:tcPr>
            <w:tcW w:type="dxa" w:w="1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Contact</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TCS NYC Marathon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Javits Center, NYC</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100,000+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$5,000–$8,000+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Early summer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nyrr.org/expo</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Chicago Marathon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McCormick Place</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85,000+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$4,000–$7,000+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Spring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chicagomarathon.com</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Boston Marathon (BAA)</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Hynes Convention Center</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60,000+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$3,000–$6,000+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January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baa.org</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Marine Corps Marathon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Packet pickup expo</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$2,000–$4,000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Summer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marinemarathon.com</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LA Marathon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Dodger Stadium area</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25,000+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$2,000–$4,000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Fall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lamarathon.com</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Philadelphia Marathon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Convention Center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20,000+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$1,500–$3,000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Summer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philadelphiamarathon.com</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Twin Cities Marathon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Minneapolis Conv. Ctr</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15,000+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$1,000–$2,500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Spring</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tcmevents.org</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Detroit Marathon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Cobo Center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12,000+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$1,000–$2,500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Summer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freepmarathon.com</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Grandma’s Marathon</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DECC, Duluth</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10,000+</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$800–$1,500</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Winter</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grandmasmarathon.com</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CIM Sacramento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Convention Center</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10,000+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$800–$1,500</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Summer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runsra.org</w:t>
            </w:r>
          </w:p>
        </w:tc>
      </w:tr>
    </w:tbl>
    <w:p>
      <w:pPr>
        <w:spacing w:before="200"/>
      </w:pPr>
    </w:p>
    <w:p>
      <w:pPr>
        <w:pStyle w:val="Heading2"/>
        <w:spacing w:before="280" w:after="160"/>
      </w:pPr>
      <w:r>
        <w:rPr>
          <w:rFonts w:ascii="Arial" w:cs="Arial" w:eastAsia="Arial" w:hAnsi="Arial"/>
        </w:rPr>
        <w:t xml:space="preserve">5.1 NYC Marathon Expo: The Gold Standard</w:t>
      </w:r>
    </w:p>
    <w:p>
      <w:pPr>
        <w:spacing w:after="160"/>
      </w:pPr>
      <w:r>
        <w:rPr>
          <w:rFonts w:ascii="Arial" w:cs="Arial" w:eastAsia="Arial" w:hAnsi="Arial"/>
          <w:b w:val="false"/>
          <w:bCs w:val="false"/>
          <w:i w:val="false"/>
          <w:iCs w:val="false"/>
          <w:color w:val="000000"/>
          <w:sz w:val="22"/>
          <w:szCs w:val="22"/>
        </w:rPr>
        <w:t xml:space="preserve">The TCS NYC Marathon Health &amp; Fitness Expo at Javits Center runs 3 days before race day with 100,000+ total visitors. Booth packages range from standard 10’×10’ ($5,000–$8,000) to premium locations ($10,000+). Electricity ($200–$500), WiFi ($300–$500), and insurance ($200–$400) are typically additional. Vendor selection is competitive — NYRR curates exhibitors for relevance to running community. Application deadline: typically early summer for November race.</w:t>
      </w:r>
    </w:p>
    <w:p>
      <w:pPr>
        <w:pStyle w:val="Heading2"/>
        <w:spacing w:before="280" w:after="160"/>
      </w:pPr>
      <w:r>
        <w:rPr>
          <w:rFonts w:ascii="Arial" w:cs="Arial" w:eastAsia="Arial" w:hAnsi="Arial"/>
        </w:rPr>
        <w:t xml:space="preserve">5.2 Expo Sales Strategy</w:t>
      </w:r>
    </w:p>
    <w:p>
      <w:pPr>
        <w:spacing w:after="160"/>
      </w:pPr>
      <w:r>
        <w:rPr>
          <w:rFonts w:ascii="Arial" w:cs="Arial" w:eastAsia="Arial" w:hAnsi="Arial"/>
          <w:b w:val="false"/>
          <w:bCs w:val="false"/>
          <w:i w:val="false"/>
          <w:iCs w:val="false"/>
          <w:color w:val="000000"/>
          <w:sz w:val="22"/>
          <w:szCs w:val="22"/>
        </w:rPr>
        <w:t xml:space="preserve">Primary goal at expos is NOT direct profit — it’s brand awareness, runner feedback, email list capture, and race-director networking. Staff booth with 2–3 people who are runners themselves. Offer $8.99 single / $14.99 2-pack impulse pricing. Collect emails with “get 15% off your next order” sign-up. Have a separate “Race Directors” area with B2B materials, sample kits, and pricing sheets.</w:t>
      </w:r>
    </w:p>
    <w:p>
      <w:r>
        <w:br w:type="page"/>
      </w:r>
    </w:p>
    <w:p>
      <w:pPr>
        <w:pStyle w:val="Heading1"/>
        <w:spacing w:before="360" w:after="200"/>
      </w:pPr>
      <w:r>
        <w:rPr>
          <w:rFonts w:ascii="Arial" w:cs="Arial" w:eastAsia="Arial" w:hAnsi="Arial"/>
        </w:rPr>
        <w:t xml:space="preserve">6. Race Director Outreach: The Sales Playbook</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200"/>
        <w:gridCol w:w="2800"/>
      </w:tblGrid>
      <w:tr>
        <w:tc>
          <w:tcPr>
            <w:tcW w:type="dxa" w:w="1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Timeline</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Tools/Channels</w:t>
            </w:r>
          </w:p>
        </w:tc>
        <w:tc>
          <w:tcPr>
            <w:tcW w:type="dxa" w:w="28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Key Focus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Week 1–2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Identify 50 target races from P0C database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RunSignUp, RRCA directory, FindMyMarathon temperature filter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Focus: cold-weather races with CRS cert or sustainability programs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Week 2–4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Warm outreach via Running USA or RRCA connections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Attend RRCA Convention (Apr 2026, $425)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Frame as “research on start-line sustainability”</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Week 3–6</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Send sample kits to 10–15 interested RDs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Ship 50–100 ponchos + data sheet + compostability cert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Include warmth comparison data vs. Heatsheets/garbage bags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Week 6–10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Follow up for pilot commitments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Offer 3-tier pilot: free sample → subsidized → full partnership</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Collect LOIs (Letters of Intent) as strong signals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Week 10–16</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Convert pilots to POs for Fall 2026 season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Provide case study template + data collection guide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Target: 3–5 pilot races locked by August 2026</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Ongoing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Attend TRE (Dec 2026, $519+booth) + Running USA (Jan 2027)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Exhibit; network; close 10+ race contracts for 2027 season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Build portfolio of race-director testimonials</w:t>
            </w:r>
          </w:p>
        </w:tc>
      </w:tr>
    </w:tbl>
    <w:p>
      <w:pPr>
        <w:spacing w:before="200"/>
      </w:pPr>
    </w:p>
    <w:p>
      <w:pPr>
        <w:pStyle w:val="Heading2"/>
        <w:spacing w:before="280" w:after="160"/>
      </w:pPr>
      <w:r>
        <w:rPr>
          <w:rFonts w:ascii="Arial" w:cs="Arial" w:eastAsia="Arial" w:hAnsi="Arial"/>
        </w:rPr>
        <w:t xml:space="preserve">6.1 Overcoming the Heatsheets Switching Cost</w:t>
      </w:r>
    </w:p>
    <w:p>
      <w:pPr>
        <w:spacing w:after="160"/>
      </w:pPr>
      <w:r>
        <w:rPr>
          <w:rFonts w:ascii="Arial" w:cs="Arial" w:eastAsia="Arial" w:hAnsi="Arial"/>
          <w:b/>
          <w:bCs/>
          <w:i w:val="false"/>
          <w:iCs w:val="false"/>
          <w:color w:val="000000"/>
          <w:sz w:val="22"/>
          <w:szCs w:val="22"/>
        </w:rPr>
        <w:t xml:space="preserve">The pitch is NOT “replace Heatsheets.” </w:t>
      </w:r>
      <w:r>
        <w:rPr>
          <w:rFonts w:ascii="Arial" w:cs="Arial" w:eastAsia="Arial" w:hAnsi="Arial"/>
          <w:b w:val="false"/>
          <w:bCs w:val="false"/>
          <w:i w:val="false"/>
          <w:iCs w:val="false"/>
          <w:color w:val="000000"/>
          <w:sz w:val="22"/>
          <w:szCs w:val="22"/>
        </w:rPr>
        <w:t xml:space="preserve">Heatsheets owns the finish line. The pitch is: “We own the start line — a moment Heatsheets doesn’t serve.” This positions the poncho as complementary, not competitive, avoiding the switching-cost objection entirely. For races that DO use Heatsheets ponchos at the start: lead with sustainability certification credit (CRS/RFS), sponsor co-branding opportunity, and operational simplification (compostable = no sorting needed).</w:t>
      </w:r>
    </w:p>
    <w:p>
      <w:pPr>
        <w:pStyle w:val="Heading2"/>
        <w:spacing w:before="280" w:after="160"/>
      </w:pPr>
      <w:r>
        <w:rPr>
          <w:rFonts w:ascii="Arial" w:cs="Arial" w:eastAsia="Arial" w:hAnsi="Arial"/>
        </w:rPr>
        <w:t xml:space="preserve">6.2 Common Objections and Responses</w:t>
      </w:r>
    </w:p>
    <w:p>
      <w:pPr>
        <w:spacing w:after="160"/>
      </w:pPr>
      <w:r>
        <w:rPr>
          <w:rFonts w:ascii="Arial" w:cs="Arial" w:eastAsia="Arial" w:hAnsi="Arial"/>
          <w:b w:val="false"/>
          <w:bCs w:val="false"/>
          <w:i w:val="false"/>
          <w:iCs w:val="false"/>
          <w:color w:val="000000"/>
          <w:sz w:val="22"/>
          <w:szCs w:val="22"/>
        </w:rPr>
        <w:t xml:space="preserve">"Too expensive vs. garbage bags/mylar." Response: Total cost analysis — factor in 200+ clothing-sorting volunteers, Goodwill coordination, and brand/sponsor value of a co-branded compostable product.</w:t>
      </w:r>
    </w:p>
    <w:p>
      <w:pPr>
        <w:spacing w:after="160"/>
      </w:pPr>
      <w:r>
        <w:rPr>
          <w:rFonts w:ascii="Arial" w:cs="Arial" w:eastAsia="Arial" w:hAnsi="Arial"/>
          <w:b w:val="false"/>
          <w:bCs w:val="false"/>
          <w:i w:val="false"/>
          <w:iCs w:val="false"/>
          <w:color w:val="000000"/>
          <w:sz w:val="22"/>
          <w:szCs w:val="22"/>
        </w:rPr>
        <w:t xml:space="preserve">"Will it actually keep runners warm?" Response: Metallized aluminum reflects 95–97% IR body heat — identical physics to Heatsheets. Provide thermal test data (CLO comparison).</w:t>
      </w:r>
    </w:p>
    <w:p>
      <w:pPr>
        <w:spacing w:after="160"/>
      </w:pPr>
      <w:r>
        <w:rPr>
          <w:rFonts w:ascii="Arial" w:cs="Arial" w:eastAsia="Arial" w:hAnsi="Arial"/>
          <w:b w:val="false"/>
          <w:bCs w:val="false"/>
          <w:i w:val="false"/>
          <w:iCs w:val="false"/>
          <w:color w:val="000000"/>
          <w:sz w:val="22"/>
          <w:szCs w:val="22"/>
        </w:rPr>
        <w:t xml:space="preserve">"Is it really compostable?" Response: BPI certified (#pending), EN 13432 compliant, TÜV OK Compost verified. Third-party lab results available.</w:t>
      </w:r>
    </w:p>
    <w:p>
      <w:pPr>
        <w:spacing w:after="160"/>
      </w:pPr>
      <w:r>
        <w:rPr>
          <w:rFonts w:ascii="Arial" w:cs="Arial" w:eastAsia="Arial" w:hAnsi="Arial"/>
          <w:b w:val="false"/>
          <w:bCs w:val="false"/>
          <w:i w:val="false"/>
          <w:iCs w:val="false"/>
          <w:color w:val="000000"/>
          <w:sz w:val="22"/>
          <w:szCs w:val="22"/>
        </w:rPr>
        <w:t xml:space="preserve">"We already have a sustainability program." Response: This poncho directly earns CRS certification credit under waste management criteria. Show exactly which CRS checklist items it satisfies.</w:t>
      </w:r>
    </w:p>
    <w:p>
      <w:r>
        <w:br w:type="page"/>
      </w:r>
    </w:p>
    <w:p>
      <w:pPr>
        <w:pStyle w:val="Heading1"/>
        <w:spacing w:before="360" w:after="200"/>
      </w:pPr>
      <w:r>
        <w:rPr>
          <w:rFonts w:ascii="Arial" w:cs="Arial" w:eastAsia="Arial" w:hAnsi="Arial"/>
        </w:rPr>
        <w:t xml:space="preserve">7. Sustainability Certifications as B2B Selling Tools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24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Certification</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Races That Hold/Pursue It</w:t>
            </w:r>
          </w:p>
        </w:tc>
        <w:tc>
          <w:tcPr>
            <w:tcW w:type="dxa" w:w="2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How Poncho Helps</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Selling Angle</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CRS Evergreen (highest)</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Chicago, Toronto, London, LA</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Compostable products earn direct credit under Waste Management criteria</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Strongest selling point for certified races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CRS Gold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Hartford, Flying Pig, Grandma’s, Cherry Blossom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Credit toward waste diversion and innovation metrics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“Helps us maintain/achieve certification” pitch</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CRS Silver/Bronze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50+ additional events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Stepping stone; compostable products help upgrade tier</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“This product moves you from Silver to Gold”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Racing for Sustainability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Small/mid races; Tina Muir network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Industry Partner at $1,000/yr; toolkit + badge + promotion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Access to 78%+ of races not pursuing CRS</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UN Sports for Climate Action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NYC Marathon (NYRR), Berlin, London</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Signatory commitment to reduce emissions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Aligns with scope 3 supply chain goals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Net-zero pledges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NYRR (2040), Boston (ongoing), Pittsburgh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Compostable products directly reduce landfill emissions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“Contributes to your net-zero pathway”</w:t>
            </w:r>
          </w:p>
        </w:tc>
      </w:tr>
    </w:tbl>
    <w:p>
      <w:pPr>
        <w:spacing w:before="200"/>
      </w:pPr>
    </w:p>
    <w:p>
      <w:pPr>
        <w:pStyle w:val="Heading2"/>
        <w:spacing w:before="280" w:after="160"/>
      </w:pPr>
      <w:r>
        <w:rPr>
          <w:rFonts w:ascii="Arial" w:cs="Arial" w:eastAsia="Arial" w:hAnsi="Arial"/>
        </w:rPr>
        <w:t xml:space="preserve">7.1 CRS Certification Credit: Specific Criteria Satisfied</w:t>
      </w:r>
    </w:p>
    <w:p>
      <w:pPr>
        <w:spacing w:after="160"/>
      </w:pPr>
      <w:r>
        <w:rPr>
          <w:rFonts w:ascii="Arial" w:cs="Arial" w:eastAsia="Arial" w:hAnsi="Arial"/>
          <w:b w:val="false"/>
          <w:bCs w:val="false"/>
          <w:i w:val="false"/>
          <w:iCs w:val="false"/>
          <w:color w:val="000000"/>
          <w:sz w:val="22"/>
          <w:szCs w:val="22"/>
        </w:rPr>
        <w:t xml:space="preserve">The Council for Responsible Sport evaluates races across 5 pillars with 61 best practices. A compostable poncho directly satisfies: (1) Waste Management — Waste Reduction: offering compostable alternatives to disposable products. (2) Waste Management — Diversion: achieving higher compost/recycling rates by replacing non-recyclable mylar. (3) Procurement — Sustainable Sourcing: purchasing certified compostable/bio-based products. (4) Innovation: introducing novel sustainability solutions. Each satisfied criterion earns points toward higher certification tiers.</w:t>
      </w:r>
    </w:p>
    <w:p>
      <w:pPr>
        <w:pStyle w:val="Heading2"/>
        <w:spacing w:before="280" w:after="160"/>
      </w:pPr>
      <w:r>
        <w:rPr>
          <w:rFonts w:ascii="Arial" w:cs="Arial" w:eastAsia="Arial" w:hAnsi="Arial"/>
        </w:rPr>
        <w:t xml:space="preserve">7.2 Racing for Sustainability Industry Partnership</w:t>
      </w:r>
    </w:p>
    <w:p>
      <w:pPr>
        <w:spacing w:after="160"/>
      </w:pPr>
      <w:r>
        <w:rPr>
          <w:rFonts w:ascii="Arial" w:cs="Arial" w:eastAsia="Arial" w:hAnsi="Arial"/>
          <w:b w:val="false"/>
          <w:bCs w:val="false"/>
          <w:i w:val="false"/>
          <w:iCs w:val="false"/>
          <w:color w:val="000000"/>
          <w:sz w:val="22"/>
          <w:szCs w:val="22"/>
        </w:rPr>
        <w:t xml:space="preserve">Racing for Sustainability (Tina Muir) offers Industry Partner membership at $1,000/year. Benefits: toolkit inclusion (recommended products list), digital badge, promotion to member races, conference speaking opportunities. 78% of races are too small for CRS — RFS fills this gap. The compostable poncho becomes a “recommended product” in the RFS toolkit, driving organic B2B leads.</w:t>
      </w:r>
    </w:p>
    <w:p>
      <w:r>
        <w:br w:type="page"/>
      </w:r>
    </w:p>
    <w:p>
      <w:pPr>
        <w:pStyle w:val="Heading1"/>
        <w:spacing w:before="360" w:after="200"/>
      </w:pPr>
      <w:r>
        <w:rPr>
          <w:rFonts w:ascii="Arial" w:cs="Arial" w:eastAsia="Arial" w:hAnsi="Arial"/>
        </w:rPr>
        <w:t xml:space="preserve">8. Sponsor-Funded Co-Branding Model</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3200"/>
      </w:tblGrid>
      <w:tr>
        <w:tc>
          <w:tcPr>
            <w:tcW w:type="dxa" w:w="1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Sponsor</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Marathon Spend</w:t>
            </w:r>
          </w:p>
        </w:tc>
        <w:tc>
          <w:tcPr>
            <w:tcW w:type="dxa" w:w="20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Sustainability Angle</w:t>
            </w:r>
          </w:p>
        </w:tc>
        <w:tc>
          <w:tcPr>
            <w:tcW w:type="dxa" w:w="32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Co-Brand Opportunity</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TCS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$40M/yr across 5 World Majors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Sustainability is stated pillar</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Co-branded poncho: TCS logo + “Powered by [Brand]”</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Bank of America</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Chicago Marathon title sponsor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Requires ALL items reusable/recyclable/compostable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Natural product fit; BofA pays for poncho inclusion</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Schneider Electric</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Boston Marathon sustainability partner</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Dedicated sustainability sponsorship category</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Joint sustainability activation at start line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Abbott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World Marathon Majors series sponsor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Series-wide sustainability commitment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Cross-major partnership opportunity</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Brooks Running</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 specialty retail shoe brand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Carbon-neutral Ghost 14; Run Happy sustainability</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Co-branded eco warmth layer for sponsored races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Adidas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Berlin + Boston associations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Parley ocean plastic; Made to be Remade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Co-brand with sustainable message</w:t>
            </w:r>
          </w:p>
        </w:tc>
      </w:tr>
    </w:tbl>
    <w:p>
      <w:pPr>
        <w:spacing w:before="200"/>
      </w:pPr>
    </w:p>
    <w:p>
      <w:pPr>
        <w:pStyle w:val="Heading2"/>
        <w:spacing w:before="280" w:after="160"/>
      </w:pPr>
      <w:r>
        <w:rPr>
          <w:rFonts w:ascii="Arial" w:cs="Arial" w:eastAsia="Arial" w:hAnsi="Arial"/>
        </w:rPr>
        <w:t xml:space="preserve">8.1 How the Heatsheets Co-Branding Model Works</w:t>
      </w:r>
    </w:p>
    <w:p>
      <w:pPr>
        <w:spacing w:after="160"/>
      </w:pPr>
      <w:r>
        <w:rPr>
          <w:rFonts w:ascii="Arial" w:cs="Arial" w:eastAsia="Arial" w:hAnsi="Arial"/>
          <w:b w:val="false"/>
          <w:bCs w:val="false"/>
          <w:i w:val="false"/>
          <w:iCs w:val="false"/>
          <w:color w:val="000000"/>
          <w:sz w:val="22"/>
          <w:szCs w:val="22"/>
        </w:rPr>
        <w:t xml:space="preserve">Heatsheets’ core business model: race directors sell blanket ad space to sponsors. Sponsor pays for custom-printed blankets ($2–$5/unit at volume) with their logo prominently displayed. Runner receives a useful product; sponsor gets guaranteed impressions (every finisher uses the blanket); race director offsets costs. Custom print MOQ: 3,000 units. This model translates directly to a compostable poncho: sponsor pays $3–$5/unit for co-branded compostable poncho + sustainability PR story.</w:t>
      </w:r>
    </w:p>
    <w:p>
      <w:pPr>
        <w:pStyle w:val="Heading2"/>
        <w:spacing w:before="280" w:after="160"/>
      </w:pPr>
      <w:r>
        <w:rPr>
          <w:rFonts w:ascii="Arial" w:cs="Arial" w:eastAsia="Arial" w:hAnsi="Arial"/>
        </w:rPr>
        <w:t xml:space="preserve">8.2 Approaching Race Sponsors</w:t>
      </w:r>
    </w:p>
    <w:p>
      <w:pPr>
        <w:spacing w:after="160"/>
      </w:pPr>
      <w:r>
        <w:rPr>
          <w:rFonts w:ascii="Arial" w:cs="Arial" w:eastAsia="Arial" w:hAnsi="Arial"/>
          <w:b w:val="false"/>
          <w:bCs w:val="false"/>
          <w:i w:val="false"/>
          <w:iCs w:val="false"/>
          <w:color w:val="000000"/>
          <w:sz w:val="22"/>
          <w:szCs w:val="22"/>
        </w:rPr>
        <w:t xml:space="preserve">The pitch to sponsors: “Your logo on the only compostable warmth product at the start line — 60,000+ runners wearing your brand for 30–90 minutes in front of cameras, with a sustainability story that generates earned media.” Target sponsors with ESG mandates: Bank of America (requires compostable at Chicago), Schneider Electric (Boston sustainability partner), TCS ($40M/yr across 5 Majors with sustainability as stated pillar). Typical activation budget: $50K–$250K for a World Marathon Major sponsorship package.</w:t>
      </w:r>
    </w:p>
    <w:p>
      <w:r>
        <w:br w:type="page"/>
      </w:r>
    </w:p>
    <w:p>
      <w:pPr>
        <w:pStyle w:val="Heading1"/>
        <w:spacing w:before="360" w:after="200"/>
      </w:pPr>
      <w:r>
        <w:rPr>
          <w:rFonts w:ascii="Arial" w:cs="Arial" w:eastAsia="Arial" w:hAnsi="Arial"/>
        </w:rPr>
        <w:t xml:space="preserve">9. Charity &amp; Nonprofit Race Partnerships</w:t>
      </w:r>
    </w:p>
    <w:p>
      <w:pPr>
        <w:spacing w:after="160"/>
      </w:pPr>
      <w:r>
        <w:rPr>
          <w:rFonts w:ascii="Arial" w:cs="Arial" w:eastAsia="Arial" w:hAnsi="Arial"/>
          <w:b w:val="false"/>
          <w:bCs w:val="false"/>
          <w:i w:val="false"/>
          <w:iCs w:val="false"/>
          <w:color w:val="000000"/>
          <w:sz w:val="22"/>
          <w:szCs w:val="22"/>
        </w:rPr>
        <w:t xml:space="preserve">Charity races represent ~15–20% of all US running events. Major charity running programs include Team in Training (Leukemia &amp; Lymphoma Society — raised $1.5B+ since 1988), AIDS Walk/Run events, Susan G. Komen Race for the Cure (largest series of 5K runs globally), and St. Jude Heroes marathon program. Charity race budgets are typically 10–20% tighter than for-profit races, with higher scrutiny on per-runner costs.</w:t>
      </w:r>
    </w:p>
    <w:p>
      <w:pPr>
        <w:spacing w:after="160"/>
      </w:pPr>
      <w:r>
        <w:rPr>
          <w:rFonts w:ascii="Arial" w:cs="Arial" w:eastAsia="Arial" w:hAnsi="Arial"/>
          <w:b/>
          <w:bCs/>
          <w:i w:val="false"/>
          <w:iCs w:val="false"/>
          <w:color w:val="000000"/>
          <w:sz w:val="22"/>
          <w:szCs w:val="22"/>
        </w:rPr>
        <w:t xml:space="preserve">However, charity races are MORE likely to invest in sustainability </w:t>
      </w:r>
      <w:r>
        <w:rPr>
          <w:rFonts w:ascii="Arial" w:cs="Arial" w:eastAsia="Arial" w:hAnsi="Arial"/>
          <w:b w:val="false"/>
          <w:bCs w:val="false"/>
          <w:i w:val="false"/>
          <w:iCs w:val="false"/>
          <w:color w:val="000000"/>
          <w:sz w:val="22"/>
          <w:szCs w:val="22"/>
        </w:rPr>
        <w:t xml:space="preserve">because (1) their participants skew toward socially conscious demographics, (2) sustainability aligns with mission-driven branding, and (3) environmental claims help attract corporate sponsors. Heatsheets explicitly markets to nonprofits with a dedicated page showing how custom-printed blankets can be part of fundraising — a model to emulate.</w:t>
      </w:r>
    </w:p>
    <w:p>
      <w:pPr>
        <w:spacing w:after="160"/>
      </w:pPr>
      <w:r>
        <w:rPr>
          <w:rFonts w:ascii="Arial" w:cs="Arial" w:eastAsia="Arial" w:hAnsi="Arial"/>
          <w:b w:val="false"/>
          <w:bCs w:val="false"/>
          <w:i w:val="false"/>
          <w:iCs w:val="false"/>
          <w:color w:val="000000"/>
          <w:sz w:val="22"/>
          <w:szCs w:val="22"/>
        </w:rPr>
        <w:t xml:space="preserve">Group purchasing: no formal buying cooperative exists for US race supplies. However, race series operators (REVEL, Rock ’n’ Roll/Ironman, Spartan) centralize procurement across multiple events — one conversation can unlock an entire portfolio. REVEL series (7+ races at cold mountain starts) is the single best series target.</w:t>
      </w:r>
    </w:p>
    <w:p>
      <w:r>
        <w:br w:type="page"/>
      </w:r>
    </w:p>
    <w:p>
      <w:pPr>
        <w:pStyle w:val="Heading1"/>
        <w:spacing w:before="360" w:after="200"/>
      </w:pPr>
      <w:r>
        <w:rPr>
          <w:rFonts w:ascii="Arial" w:cs="Arial" w:eastAsia="Arial" w:hAnsi="Arial"/>
        </w:rPr>
        <w:t xml:space="preserve">10. International B2B Expansion Opportunities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600"/>
        <w:gridCol w:w="2600"/>
      </w:tblGrid>
      <w:tr>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Marathon</w:t>
            </w:r>
          </w:p>
        </w:tc>
        <w:tc>
          <w:tcPr>
            <w:tcW w:type="dxa" w:w="24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Size &amp; Sustainability</w:t>
            </w:r>
          </w:p>
        </w:tc>
        <w:tc>
          <w:tcPr>
            <w:tcW w:type="dxa" w:w="1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Certification Needed</w:t>
            </w:r>
          </w:p>
        </w:tc>
        <w:tc>
          <w:tcPr>
            <w:tcW w:type="dxa" w:w="2600"/>
            <w:tcBorders>
              <w:top w:val="single" w:color="CCCCCC" w:sz="1"/>
              <w:left w:val="single" w:color="CCCCCC" w:sz="1"/>
              <w:bottom w:val="single" w:color="CCCCCC" w:sz="1"/>
              <w:right w:val="single" w:color="CCCCCC"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Opportunity Level</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London Marathon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48,000+ finishers; failed reusable cape trial 2019</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EN 13432 + OK Compost required</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High — actively seeking alternatives to failed reusable model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Berlin Marathon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45,000+; closed-loop recycling program</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 13432 + DIN CERTCO</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High — strong sustainability culture; bales blankets for recycling</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Tokyo Marathon</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38,000+; Japanese precision culture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Japanese Green Purchasing Law compliance</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Medium — requires local distribution partner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Valencia Marathon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30,000+; switched to €10 reusable poncho</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EN 13432</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Medium — reusable model may be preferred</w:t>
            </w:r>
          </w:p>
        </w:tc>
      </w:tr>
      <w:tr>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bCs/>
                <w:sz w:val="18"/>
                <w:szCs w:val="18"/>
              </w:rPr>
              <w:t xml:space="preserve">Toronto Waterfront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25,000+; Green Bib (6.7% opt-in); 90%+ diversion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ASTM D6400 (same as US) + CRS Evergreen</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Very High — eliminated mylar 2006; actively eco-innovating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Melbourne Marathon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35,000+; growing sustainability focus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AS 4736 (industrial) / AS 5810 (home)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18"/>
                <w:szCs w:val="18"/>
              </w:rPr>
              <w:t xml:space="preserve">Medium — Australian standards differ; TIPA already certified</w:t>
            </w:r>
          </w:p>
        </w:tc>
      </w:tr>
    </w:tbl>
    <w:p>
      <w:pPr>
        <w:spacing w:before="200"/>
      </w:pPr>
    </w:p>
    <w:p>
      <w:pPr>
        <w:pStyle w:val="Heading2"/>
        <w:spacing w:before="280" w:after="160"/>
      </w:pPr>
      <w:r>
        <w:rPr>
          <w:rFonts w:ascii="Arial" w:cs="Arial" w:eastAsia="Arial" w:hAnsi="Arial"/>
        </w:rPr>
        <w:t xml:space="preserve">10.1 Certification Requirements by Market</w:t>
      </w:r>
    </w:p>
    <w:p>
      <w:pPr>
        <w:spacing w:after="160"/>
      </w:pPr>
      <w:r>
        <w:rPr>
          <w:rFonts w:ascii="Arial" w:cs="Arial" w:eastAsia="Arial" w:hAnsi="Arial"/>
          <w:b w:val="false"/>
          <w:bCs w:val="false"/>
          <w:i w:val="false"/>
          <w:iCs w:val="false"/>
          <w:color w:val="000000"/>
          <w:sz w:val="22"/>
          <w:szCs w:val="22"/>
        </w:rPr>
        <w:t xml:space="preserve">EU/UK: EN 13432 mandatory; TÜV OK Compost preferred. US certifications (ASTM D6400, BPI) are NOT recognized. Japan: Japanese Green Purchasing Law + JIS standards. Australia: AS 4736 (industrial) / AS 5810 (home compostable). Dual US + EU certification ($35K–$75K, 12–18 months) covers the two largest marathon markets.</w:t>
      </w:r>
    </w:p>
    <w:p>
      <w:pPr>
        <w:pStyle w:val="Heading2"/>
        <w:spacing w:before="280" w:after="160"/>
      </w:pPr>
      <w:r>
        <w:rPr>
          <w:rFonts w:ascii="Arial" w:cs="Arial" w:eastAsia="Arial" w:hAnsi="Arial"/>
        </w:rPr>
        <w:t xml:space="preserve">10.2 Path to International Markets</w:t>
      </w:r>
    </w:p>
    <w:p>
      <w:pPr>
        <w:spacing w:after="160"/>
      </w:pPr>
      <w:r>
        <w:rPr>
          <w:rFonts w:ascii="Arial" w:cs="Arial" w:eastAsia="Arial" w:hAnsi="Arial"/>
          <w:b w:val="false"/>
          <w:bCs w:val="false"/>
          <w:i w:val="false"/>
          <w:iCs w:val="false"/>
          <w:color w:val="000000"/>
          <w:sz w:val="22"/>
          <w:szCs w:val="22"/>
        </w:rPr>
        <w:t xml:space="preserve">Year 1: Focus exclusively on US market. Build 3–5 pilot race case studies. Achieve BPI certification. Year 2: Pursue EN 13432 certification. Approach London Marathon (TCS-sponsored, same parent as NYC), Berlin, and Toronto (already eliminated mylar, uses ASTM D6400). Year 3: Appoint regional distributors for EU and Australia. Tokyo requires a Japanese distribution partner due to language and regulatory complexity.</w:t>
      </w:r>
    </w:p>
    <w:p>
      <w:r>
        <w:br w:type="page"/>
      </w:r>
    </w:p>
    <w:p>
      <w:pPr>
        <w:pStyle w:val="Heading1"/>
        <w:spacing w:before="360" w:after="200"/>
      </w:pPr>
      <w:r>
        <w:rPr>
          <w:rFonts w:ascii="Arial" w:cs="Arial" w:eastAsia="Arial" w:hAnsi="Arial"/>
        </w:rPr>
        <w:t xml:space="preserve">11. Conclusion: Five B2B Launch Actions</w:t>
      </w:r>
    </w:p>
    <w:p>
      <w:pPr>
        <w:spacing w:after="160"/>
      </w:pPr>
      <w:r>
        <w:rPr>
          <w:rFonts w:ascii="Arial" w:cs="Arial" w:eastAsia="Arial" w:hAnsi="Arial"/>
          <w:b/>
          <w:bCs/>
          <w:i w:val="false"/>
          <w:iCs w:val="false"/>
          <w:color w:val="000000"/>
          <w:sz w:val="22"/>
          <w:szCs w:val="22"/>
        </w:rPr>
        <w:t xml:space="preserve">1. Sign 10–15 race registration add-on partnerships by August 2026. </w:t>
      </w:r>
      <w:r>
        <w:rPr>
          <w:rFonts w:ascii="Arial" w:cs="Arial" w:eastAsia="Arial" w:hAnsi="Arial"/>
          <w:b w:val="false"/>
          <w:bCs w:val="false"/>
          <w:i w:val="false"/>
          <w:iCs w:val="false"/>
          <w:color w:val="000000"/>
          <w:sz w:val="22"/>
          <w:szCs w:val="22"/>
        </w:rPr>
        <w:t xml:space="preserve">This is the fastest, highest-margin channel. Target cold-weather Fall 2026 races. Use P0C’s prioritized 53-race database as the prospect list.</w:t>
      </w:r>
    </w:p>
    <w:p>
      <w:pPr>
        <w:spacing w:after="160"/>
      </w:pPr>
      <w:r>
        <w:rPr>
          <w:rFonts w:ascii="Arial" w:cs="Arial" w:eastAsia="Arial" w:hAnsi="Arial"/>
          <w:b/>
          <w:bCs/>
          <w:i w:val="false"/>
          <w:iCs w:val="false"/>
          <w:color w:val="000000"/>
          <w:sz w:val="22"/>
          <w:szCs w:val="22"/>
        </w:rPr>
        <w:t xml:space="preserve">2. Apply to Fleet Feet’s vendor partner program immediately. </w:t>
      </w:r>
      <w:r>
        <w:rPr>
          <w:rFonts w:ascii="Arial" w:cs="Arial" w:eastAsia="Arial" w:hAnsi="Arial"/>
          <w:b w:val="false"/>
          <w:bCs w:val="false"/>
          <w:i w:val="false"/>
          <w:iCs w:val="false"/>
          <w:color w:val="000000"/>
          <w:sz w:val="22"/>
          <w:szCs w:val="22"/>
        </w:rPr>
        <w:t xml:space="preserve">The hylo athletics precedent proves Fleet Feet actively seeks sustainability-first brands. A compostable warmth poncho is a category they don’t currently carry.</w:t>
      </w:r>
    </w:p>
    <w:p>
      <w:pPr>
        <w:spacing w:after="160"/>
      </w:pPr>
      <w:r>
        <w:rPr>
          <w:rFonts w:ascii="Arial" w:cs="Arial" w:eastAsia="Arial" w:hAnsi="Arial"/>
          <w:b/>
          <w:bCs/>
          <w:i w:val="false"/>
          <w:iCs w:val="false"/>
          <w:color w:val="000000"/>
          <w:sz w:val="22"/>
          <w:szCs w:val="22"/>
        </w:rPr>
        <w:t xml:space="preserve">3. Attend RRCA Convention (April 2026, $425) for race-director networking. </w:t>
      </w:r>
      <w:r>
        <w:rPr>
          <w:rFonts w:ascii="Arial" w:cs="Arial" w:eastAsia="Arial" w:hAnsi="Arial"/>
          <w:b w:val="false"/>
          <w:bCs w:val="false"/>
          <w:i w:val="false"/>
          <w:iCs w:val="false"/>
          <w:color w:val="000000"/>
          <w:sz w:val="22"/>
          <w:szCs w:val="22"/>
        </w:rPr>
        <w:t xml:space="preserve">This is the most cost-effective B2B event for early-stage relationship building. Frame conversations as research, not sales.</w:t>
      </w:r>
    </w:p>
    <w:p>
      <w:pPr>
        <w:spacing w:after="160"/>
      </w:pPr>
      <w:r>
        <w:rPr>
          <w:rFonts w:ascii="Arial" w:cs="Arial" w:eastAsia="Arial" w:hAnsi="Arial"/>
          <w:b/>
          <w:bCs/>
          <w:i w:val="false"/>
          <w:iCs w:val="false"/>
          <w:color w:val="000000"/>
          <w:sz w:val="22"/>
          <w:szCs w:val="22"/>
        </w:rPr>
        <w:t xml:space="preserve">4. Build a co-branded sponsor pitch deck for sustainability-mandated sponsors. </w:t>
      </w:r>
      <w:r>
        <w:rPr>
          <w:rFonts w:ascii="Arial" w:cs="Arial" w:eastAsia="Arial" w:hAnsi="Arial"/>
          <w:b w:val="false"/>
          <w:bCs w:val="false"/>
          <w:i w:val="false"/>
          <w:iCs w:val="false"/>
          <w:color w:val="000000"/>
          <w:sz w:val="22"/>
          <w:szCs w:val="22"/>
        </w:rPr>
        <w:t xml:space="preserve">Target Bank of America (Chicago), Schneider Electric (Boston), and TCS (NYC). The pitch: their logo on the only compostable start-line warmth product.</w:t>
      </w:r>
    </w:p>
    <w:p>
      <w:pPr>
        <w:spacing w:after="160"/>
      </w:pPr>
      <w:r>
        <w:rPr>
          <w:rFonts w:ascii="Arial" w:cs="Arial" w:eastAsia="Arial" w:hAnsi="Arial"/>
          <w:b/>
          <w:bCs/>
          <w:i w:val="false"/>
          <w:iCs w:val="false"/>
          <w:color w:val="000000"/>
          <w:sz w:val="22"/>
          <w:szCs w:val="22"/>
        </w:rPr>
        <w:t xml:space="preserve">5. Join Racing for Sustainability as an Industry Partner ($1,000/yr). </w:t>
      </w:r>
      <w:r>
        <w:rPr>
          <w:rFonts w:ascii="Arial" w:cs="Arial" w:eastAsia="Arial" w:hAnsi="Arial"/>
          <w:b w:val="false"/>
          <w:bCs w:val="false"/>
          <w:i w:val="false"/>
          <w:iCs w:val="false"/>
          <w:color w:val="000000"/>
          <w:sz w:val="22"/>
          <w:szCs w:val="22"/>
        </w:rPr>
        <w:t xml:space="preserve">This provides instant credibility, toolkit inclusion, and access to the 78% of races too small for CRS certification. Tina Muir’s network is the single best grassroots B2B channel for small/mid-size races.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6B"/>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2026-03-17T14:02:34.080Z</dcterms:created>
  <dcterms:modified xsi:type="dcterms:W3CDTF">2026-03-17T14:02:34.081Z</dcterms:modified>
</cp:coreProperties>
</file>

<file path=docProps/custom.xml><?xml version="1.0" encoding="utf-8"?>
<Properties xmlns="http://schemas.openxmlformats.org/officeDocument/2006/custom-properties" xmlns:vt="http://schemas.openxmlformats.org/officeDocument/2006/docPropsVTypes"/>
</file>